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73"/>
        <w:spacing w:after="0" w:line="240" w:lineRule="auto"/>
        <w:contextualSpacing/>
        <w:jc w:val="center"/>
        <w:rPr>
          <w:rFonts w:ascii="Times New Roman" w:hAnsi="Times New Roman"/>
          <w:b/>
          <w:sz w:val="26"/>
          <w:szCs w:val="26"/>
        </w:rPr>
      </w:pPr>
      <w:r>
        <w:rPr>
          <w:rFonts w:ascii="Times New Roman" w:hAnsi="Times New Roman"/>
          <w:b/>
          <w:sz w:val="26"/>
          <w:szCs w:val="26"/>
        </w:rPr>
      </w:r>
      <w:r>
        <w:rPr>
          <w:rFonts w:ascii="Times New Roman" w:hAnsi="Times New Roman"/>
          <w:b/>
          <w:sz w:val="26"/>
          <w:szCs w:val="26"/>
        </w:rPr>
      </w:r>
    </w:p>
    <w:p>
      <w:pPr>
        <w:pStyle w:val="874"/>
        <w:widowControl/>
        <w:contextualSpacing/>
        <w:jc w:val="center"/>
        <w:rPr>
          <w:rFonts w:ascii="Times New Roman" w:hAnsi="Times New Roman" w:cs="Times New Roman"/>
          <w:b/>
          <w:sz w:val="24"/>
          <w:szCs w:val="24"/>
        </w:rPr>
      </w:pPr>
      <w:r>
        <w:rPr>
          <w:rFonts w:ascii="Times New Roman" w:hAnsi="Times New Roman" w:cs="Times New Roman"/>
          <w:b/>
          <w:sz w:val="26"/>
          <w:szCs w:val="26"/>
          <w:highlight w:val="white"/>
        </w:rPr>
        <w:t xml:space="preserve">Договор №</w:t>
      </w:r>
      <w:r>
        <w:rPr>
          <w:rFonts w:ascii="Times New Roman" w:hAnsi="Times New Roman" w:cs="Times New Roman"/>
          <w:b/>
          <w:sz w:val="26"/>
          <w:szCs w:val="26"/>
        </w:rPr>
        <w:t xml:space="preserve">___________</w:t>
      </w:r>
      <w:r>
        <w:rPr>
          <w:rFonts w:ascii="Times New Roman" w:hAnsi="Times New Roman" w:cs="Times New Roman"/>
          <w:b/>
          <w:sz w:val="24"/>
          <w:szCs w:val="24"/>
        </w:rPr>
      </w:r>
      <w:r>
        <w:rPr>
          <w:rFonts w:ascii="Times New Roman" w:hAnsi="Times New Roman" w:cs="Times New Roman"/>
          <w:b/>
          <w:sz w:val="24"/>
          <w:szCs w:val="24"/>
        </w:rPr>
      </w:r>
    </w:p>
    <w:p>
      <w:pPr>
        <w:pStyle w:val="673"/>
        <w:spacing w:after="0" w:line="240" w:lineRule="auto"/>
        <w:contextualSpacing/>
        <w:jc w:val="center"/>
        <w:rPr>
          <w:rFonts w:ascii="Times New Roman" w:hAnsi="Times New Roman"/>
          <w:b/>
          <w:sz w:val="26"/>
          <w:szCs w:val="26"/>
          <w:highlight w:val="white"/>
        </w:rPr>
      </w:pPr>
      <w:r>
        <w:rPr>
          <w:rFonts w:ascii="Times New Roman" w:hAnsi="Times New Roman"/>
          <w:b/>
          <w:sz w:val="26"/>
          <w:szCs w:val="26"/>
          <w:highlight w:val="white"/>
        </w:rPr>
        <w:t xml:space="preserve">об осуществлении технологического присоединения к электрическим сетям </w:t>
      </w:r>
      <w:r>
        <w:rPr>
          <w:rFonts w:ascii="Times New Roman" w:hAnsi="Times New Roman"/>
          <w:b/>
          <w:sz w:val="26"/>
          <w:szCs w:val="26"/>
          <w:highlight w:val="white"/>
        </w:rPr>
      </w:r>
      <w:r>
        <w:rPr>
          <w:rFonts w:ascii="Times New Roman" w:hAnsi="Times New Roman"/>
          <w:b/>
          <w:sz w:val="26"/>
          <w:szCs w:val="26"/>
          <w:highlight w:val="white"/>
        </w:rPr>
      </w:r>
    </w:p>
    <w:p>
      <w:pPr>
        <w:pStyle w:val="673"/>
        <w:spacing w:after="0" w:line="240" w:lineRule="auto"/>
        <w:contextualSpacing/>
        <w:jc w:val="center"/>
        <w:rPr>
          <w:rFonts w:ascii="Times New Roman" w:hAnsi="Times New Roman" w:eastAsia="Times New Roman"/>
          <w:b/>
          <w:sz w:val="26"/>
          <w:szCs w:val="26"/>
          <w:highlight w:val="white"/>
        </w:rPr>
      </w:pPr>
      <w:r>
        <w:rPr>
          <w:rFonts w:ascii="Times New Roman" w:hAnsi="Times New Roman"/>
          <w:b/>
          <w:sz w:val="26"/>
          <w:szCs w:val="26"/>
          <w:highlight w:val="white"/>
        </w:rPr>
        <w:t xml:space="preserve">АО «Россети Янтарь» </w:t>
      </w:r>
      <w:r>
        <w:rPr>
          <w:rFonts w:ascii="Times New Roman" w:hAnsi="Times New Roman" w:eastAsia="Times New Roman"/>
          <w:b/>
          <w:sz w:val="26"/>
          <w:szCs w:val="26"/>
          <w:highlight w:val="white"/>
          <w:lang w:eastAsia="ru-RU"/>
        </w:rPr>
        <w:t xml:space="preserve">по индивидуальному проекту</w:t>
      </w:r>
      <w:r>
        <w:rPr>
          <w:rFonts w:ascii="Times New Roman" w:hAnsi="Times New Roman" w:eastAsia="Times New Roman"/>
          <w:b/>
          <w:sz w:val="26"/>
          <w:szCs w:val="26"/>
          <w:highlight w:val="white"/>
        </w:rPr>
      </w:r>
      <w:r>
        <w:rPr>
          <w:rFonts w:ascii="Times New Roman" w:hAnsi="Times New Roman" w:eastAsia="Times New Roman"/>
          <w:b/>
          <w:sz w:val="26"/>
          <w:szCs w:val="26"/>
          <w:highlight w:val="white"/>
        </w:rPr>
      </w:r>
    </w:p>
    <w:p>
      <w:pPr>
        <w:pStyle w:val="673"/>
        <w:spacing w:after="0" w:line="240" w:lineRule="auto"/>
        <w:contextualSpacing/>
        <w:jc w:val="center"/>
        <w:rPr>
          <w:rFonts w:ascii="Times New Roman" w:hAnsi="Times New Roman" w:eastAsia="Times New Roman"/>
          <w:sz w:val="26"/>
          <w:szCs w:val="26"/>
          <w:highlight w:val="white"/>
        </w:rPr>
      </w:pPr>
      <w:r>
        <w:rPr>
          <w:rFonts w:ascii="Times New Roman" w:hAnsi="Times New Roman" w:eastAsia="Times New Roman"/>
          <w:sz w:val="26"/>
          <w:szCs w:val="26"/>
          <w:highlight w:val="white"/>
        </w:rPr>
      </w:r>
      <w:r>
        <w:rPr>
          <w:rFonts w:ascii="Times New Roman" w:hAnsi="Times New Roman" w:eastAsia="Times New Roman"/>
          <w:sz w:val="26"/>
          <w:szCs w:val="26"/>
          <w:highlight w:val="white"/>
        </w:rPr>
      </w:r>
    </w:p>
    <w:p>
      <w:pPr>
        <w:pStyle w:val="673"/>
        <w:spacing w:after="0" w:line="240" w:lineRule="auto"/>
        <w:contextualSpacing/>
        <w:jc w:val="both"/>
        <w:rPr>
          <w:rFonts w:ascii="Times New Roman" w:hAnsi="Times New Roman" w:eastAsia="Times New Roman"/>
          <w:sz w:val="24"/>
          <w:szCs w:val="24"/>
          <w:highlight w:val="white"/>
          <w:u w:val="single"/>
        </w:rPr>
      </w:pPr>
      <w:r>
        <w:rPr>
          <w:rFonts w:ascii="Times New Roman" w:hAnsi="Times New Roman" w:eastAsia="Times New Roman"/>
          <w:sz w:val="24"/>
          <w:szCs w:val="24"/>
          <w:highlight w:val="white"/>
          <w:lang w:eastAsia="ru-RU"/>
        </w:rPr>
        <w:t xml:space="preserve">г. _______________</w:t>
        <w:tab/>
        <w:tab/>
        <w:tab/>
        <w:tab/>
        <w:tab/>
        <w:tab/>
        <w:tab/>
      </w:r>
      <w:r>
        <w:rPr>
          <w:rFonts w:ascii="Times New Roman" w:hAnsi="Times New Roman" w:eastAsia="Times New Roman"/>
          <w:sz w:val="24"/>
          <w:szCs w:val="24"/>
          <w:highlight w:val="white"/>
          <w:lang w:eastAsia="ru-RU"/>
        </w:rPr>
        <w:t xml:space="preserve">           </w:t>
      </w:r>
      <w:r>
        <w:rPr>
          <w:rFonts w:ascii="Times New Roman" w:hAnsi="Times New Roman" w:eastAsia="Times New Roman"/>
          <w:sz w:val="24"/>
          <w:szCs w:val="24"/>
          <w:highlight w:val="white"/>
          <w:lang w:eastAsia="ru-RU"/>
        </w:rPr>
        <w:t xml:space="preserve">«</w:t>
      </w:r>
      <w:r>
        <w:rPr>
          <w:rFonts w:ascii="Times New Roman" w:hAnsi="Times New Roman" w:eastAsia="Times New Roman"/>
          <w:sz w:val="24"/>
          <w:szCs w:val="24"/>
          <w:highlight w:val="white"/>
          <w:u w:val="single"/>
          <w:lang w:eastAsia="ru-RU"/>
        </w:rPr>
        <w:t xml:space="preserve">      </w:t>
      </w:r>
      <w:r>
        <w:rPr>
          <w:rFonts w:ascii="Times New Roman" w:hAnsi="Times New Roman" w:eastAsia="Times New Roman"/>
          <w:sz w:val="24"/>
          <w:szCs w:val="24"/>
          <w:highlight w:val="white"/>
          <w:lang w:eastAsia="ru-RU"/>
        </w:rPr>
        <w:t xml:space="preserve">» ____________ 20___ г.</w:t>
      </w:r>
      <w:r>
        <w:rPr>
          <w:rFonts w:ascii="Times New Roman" w:hAnsi="Times New Roman" w:eastAsia="Times New Roman"/>
          <w:sz w:val="24"/>
          <w:szCs w:val="24"/>
          <w:highlight w:val="white"/>
          <w:u w:val="single"/>
        </w:rPr>
      </w:r>
      <w:r>
        <w:rPr>
          <w:rFonts w:ascii="Times New Roman" w:hAnsi="Times New Roman" w:eastAsia="Times New Roman"/>
          <w:sz w:val="24"/>
          <w:szCs w:val="24"/>
          <w:highlight w:val="white"/>
          <w:u w:val="single"/>
        </w:rPr>
      </w:r>
    </w:p>
    <w:p>
      <w:pPr>
        <w:pStyle w:val="673"/>
        <w:spacing w:after="0" w:line="240" w:lineRule="auto"/>
        <w:contextualSpacing/>
        <w:jc w:val="center"/>
        <w:rPr>
          <w:rFonts w:ascii="Times New Roman" w:hAnsi="Times New Roman" w:eastAsia="Times New Roman"/>
          <w:sz w:val="26"/>
          <w:szCs w:val="26"/>
          <w:highlight w:val="white"/>
        </w:rPr>
      </w:pPr>
      <w:r>
        <w:rPr>
          <w:rFonts w:ascii="Times New Roman" w:hAnsi="Times New Roman" w:eastAsia="Times New Roman"/>
          <w:sz w:val="26"/>
          <w:szCs w:val="26"/>
          <w:highlight w:val="white"/>
        </w:rPr>
      </w:r>
      <w:r>
        <w:rPr>
          <w:rFonts w:ascii="Times New Roman" w:hAnsi="Times New Roman" w:eastAsia="Times New Roman"/>
          <w:sz w:val="26"/>
          <w:szCs w:val="26"/>
          <w:highlight w:val="white"/>
        </w:rPr>
      </w:r>
    </w:p>
    <w:p>
      <w:pPr>
        <w:pStyle w:val="673"/>
        <w:spacing w:after="0" w:line="240" w:lineRule="auto"/>
        <w:ind w:firstLine="708"/>
        <w:jc w:val="both"/>
        <w:rPr>
          <w:rFonts w:ascii="Times New Roman" w:hAnsi="Times New Roman"/>
          <w:sz w:val="24"/>
          <w:szCs w:val="24"/>
        </w:rPr>
      </w:pPr>
      <w:r>
        <w:rPr>
          <w:rFonts w:ascii="Times New Roman" w:hAnsi="Times New Roman"/>
          <w:b/>
          <w:sz w:val="24"/>
          <w:szCs w:val="24"/>
        </w:rPr>
        <w:t xml:space="preserve">Акционерное общество «Россети Янтарь»</w:t>
      </w:r>
      <w:r>
        <w:rPr>
          <w:rFonts w:ascii="Times New Roman" w:hAnsi="Times New Roman"/>
          <w:sz w:val="24"/>
          <w:szCs w:val="24"/>
        </w:rPr>
        <w:t xml:space="preserve">, именуемое в дальнейшем «Сетевая организация», в лице ___________________________________________</w:t>
      </w:r>
      <w:r>
        <w:rPr>
          <w:rFonts w:ascii="Times New Roman" w:hAnsi="Times New Roman"/>
          <w:sz w:val="24"/>
          <w:szCs w:val="24"/>
        </w:rPr>
        <w:t xml:space="preserve">______</w:t>
      </w:r>
      <w:r>
        <w:rPr>
          <w:rFonts w:ascii="Times New Roman" w:hAnsi="Times New Roman"/>
          <w:sz w:val="24"/>
          <w:szCs w:val="24"/>
        </w:rPr>
        <w:t xml:space="preserve">________________</w:t>
      </w:r>
      <w:r>
        <w:rPr>
          <w:rFonts w:ascii="Times New Roman" w:hAnsi="Times New Roman"/>
          <w:sz w:val="24"/>
          <w:szCs w:val="24"/>
        </w:rPr>
      </w:r>
    </w:p>
    <w:p>
      <w:pPr>
        <w:pStyle w:val="673"/>
        <w:spacing w:after="0" w:line="240" w:lineRule="auto"/>
        <w:jc w:val="center"/>
        <w:rPr>
          <w:rFonts w:ascii="Times New Roman" w:hAnsi="Times New Roman"/>
          <w:i/>
          <w:sz w:val="18"/>
          <w:szCs w:val="18"/>
        </w:rPr>
      </w:pPr>
      <w:r>
        <w:rPr>
          <w:rFonts w:ascii="Times New Roman" w:hAnsi="Times New Roman"/>
          <w:sz w:val="24"/>
          <w:szCs w:val="24"/>
        </w:rPr>
        <w:t xml:space="preserve">___________________________________________________________________________________</w:t>
      </w:r>
      <w:r>
        <w:rPr>
          <w:rFonts w:ascii="Times New Roman" w:hAnsi="Times New Roman"/>
          <w:sz w:val="24"/>
          <w:szCs w:val="24"/>
        </w:rPr>
        <w:t xml:space="preserve">,</w:t>
      </w:r>
      <w:r>
        <w:rPr>
          <w:rFonts w:ascii="Times New Roman" w:hAnsi="Times New Roman"/>
          <w:i/>
          <w:sz w:val="18"/>
          <w:szCs w:val="18"/>
        </w:rPr>
        <w:t xml:space="preserve">(должность, фамилия, имя, отчество уполномоченного лица со стороны АО «Россети Янтарь»)</w:t>
      </w:r>
      <w:r>
        <w:rPr>
          <w:rFonts w:ascii="Times New Roman" w:hAnsi="Times New Roman"/>
          <w:i/>
          <w:sz w:val="18"/>
          <w:szCs w:val="18"/>
        </w:rPr>
      </w:r>
    </w:p>
    <w:p>
      <w:pPr>
        <w:pStyle w:val="673"/>
        <w:spacing w:after="0" w:line="240" w:lineRule="auto"/>
        <w:jc w:val="both"/>
        <w:rPr>
          <w:rFonts w:ascii="Times New Roman" w:hAnsi="Times New Roman"/>
          <w:sz w:val="24"/>
          <w:szCs w:val="24"/>
        </w:rPr>
      </w:pPr>
      <w:r>
        <w:rPr>
          <w:rFonts w:ascii="Times New Roman" w:hAnsi="Times New Roman"/>
          <w:sz w:val="24"/>
          <w:szCs w:val="24"/>
        </w:rPr>
        <w:t xml:space="preserve">действующего на основании __________________________________</w:t>
      </w:r>
      <w:r>
        <w:rPr>
          <w:rFonts w:ascii="Times New Roman" w:hAnsi="Times New Roman"/>
          <w:sz w:val="24"/>
          <w:szCs w:val="24"/>
        </w:rPr>
        <w:t xml:space="preserve">__________________</w:t>
      </w:r>
      <w:r>
        <w:rPr>
          <w:rFonts w:ascii="Times New Roman" w:hAnsi="Times New Roman"/>
          <w:sz w:val="24"/>
          <w:szCs w:val="24"/>
        </w:rPr>
        <w:t xml:space="preserve">__</w:t>
      </w:r>
      <w:r>
        <w:rPr>
          <w:rFonts w:ascii="Times New Roman" w:hAnsi="Times New Roman"/>
          <w:sz w:val="24"/>
          <w:szCs w:val="24"/>
        </w:rPr>
        <w:t xml:space="preserve">____</w:t>
      </w:r>
      <w:r>
        <w:rPr>
          <w:rFonts w:ascii="Times New Roman" w:hAnsi="Times New Roman"/>
          <w:sz w:val="24"/>
          <w:szCs w:val="24"/>
        </w:rPr>
        <w:t xml:space="preserve">,</w:t>
      </w:r>
      <w:r>
        <w:rPr>
          <w:rFonts w:ascii="Times New Roman" w:hAnsi="Times New Roman"/>
          <w:sz w:val="24"/>
          <w:szCs w:val="24"/>
        </w:rPr>
      </w:r>
    </w:p>
    <w:p>
      <w:pPr>
        <w:pStyle w:val="673"/>
        <w:spacing w:after="0" w:line="240" w:lineRule="auto"/>
        <w:jc w:val="both"/>
        <w:rPr>
          <w:rFonts w:ascii="Times New Roman" w:hAnsi="Times New Roman"/>
          <w:i/>
          <w:sz w:val="18"/>
          <w:szCs w:val="18"/>
        </w:rPr>
      </w:pPr>
      <w:r>
        <w:rPr>
          <w:rFonts w:ascii="Times New Roman" w:hAnsi="Times New Roman"/>
          <w:i/>
          <w:sz w:val="18"/>
          <w:szCs w:val="18"/>
        </w:rPr>
        <w:t xml:space="preserve">                                                                   </w:t>
      </w:r>
      <w:r>
        <w:rPr>
          <w:rFonts w:ascii="Times New Roman" w:hAnsi="Times New Roman"/>
          <w:i/>
          <w:sz w:val="18"/>
          <w:szCs w:val="18"/>
        </w:rPr>
        <w:t xml:space="preserve">(наименование и реквизиты документа, закрепляющего полномочия лица, действующего </w:t>
      </w:r>
      <w:r>
        <w:rPr>
          <w:rFonts w:ascii="Times New Roman" w:hAnsi="Times New Roman"/>
          <w:i/>
          <w:sz w:val="18"/>
          <w:szCs w:val="18"/>
        </w:rPr>
      </w:r>
      <w:r>
        <w:rPr>
          <w:rFonts w:ascii="Times New Roman" w:hAnsi="Times New Roman"/>
          <w:i/>
          <w:sz w:val="18"/>
          <w:szCs w:val="18"/>
        </w:rPr>
      </w:r>
    </w:p>
    <w:p>
      <w:pPr>
        <w:pStyle w:val="673"/>
        <w:spacing w:after="0" w:line="240" w:lineRule="auto"/>
        <w:jc w:val="both"/>
        <w:rPr>
          <w:rFonts w:ascii="Times New Roman" w:hAnsi="Times New Roman"/>
          <w:i/>
          <w:sz w:val="24"/>
          <w:szCs w:val="24"/>
        </w:rPr>
      </w:pPr>
      <w:r>
        <w:rPr>
          <w:rFonts w:ascii="Times New Roman" w:hAnsi="Times New Roman"/>
          <w:i/>
          <w:sz w:val="18"/>
          <w:szCs w:val="18"/>
        </w:rPr>
        <w:t xml:space="preserve">                                                                   </w:t>
      </w:r>
      <w:r>
        <w:rPr>
          <w:rFonts w:ascii="Times New Roman" w:hAnsi="Times New Roman"/>
          <w:i/>
          <w:sz w:val="18"/>
          <w:szCs w:val="18"/>
        </w:rPr>
        <w:t xml:space="preserve">от имени АО «Россети Янтарь»),</w:t>
      </w:r>
      <w:r>
        <w:rPr>
          <w:rFonts w:ascii="Times New Roman" w:hAnsi="Times New Roman"/>
          <w:i/>
          <w:sz w:val="24"/>
          <w:szCs w:val="24"/>
        </w:rPr>
        <w:t xml:space="preserve"> </w:t>
      </w:r>
      <w:r>
        <w:rPr>
          <w:rFonts w:ascii="Times New Roman" w:hAnsi="Times New Roman"/>
          <w:i/>
          <w:sz w:val="24"/>
          <w:szCs w:val="24"/>
        </w:rPr>
      </w:r>
      <w:r>
        <w:rPr>
          <w:rFonts w:ascii="Times New Roman" w:hAnsi="Times New Roman"/>
          <w:i/>
          <w:sz w:val="24"/>
          <w:szCs w:val="24"/>
        </w:rPr>
      </w:r>
    </w:p>
    <w:p>
      <w:pPr>
        <w:pStyle w:val="673"/>
        <w:spacing w:after="0" w:line="240" w:lineRule="auto"/>
        <w:jc w:val="both"/>
        <w:rPr>
          <w:rFonts w:ascii="Times New Roman" w:hAnsi="Times New Roman"/>
          <w:sz w:val="24"/>
          <w:szCs w:val="24"/>
        </w:rPr>
      </w:pPr>
      <w:r>
        <w:rPr>
          <w:rFonts w:ascii="Times New Roman" w:hAnsi="Times New Roman"/>
          <w:sz w:val="24"/>
          <w:szCs w:val="24"/>
        </w:rPr>
        <w:t xml:space="preserve">с одной стороны,</w:t>
      </w:r>
      <w:r>
        <w:rPr>
          <w:rFonts w:ascii="Times New Roman" w:hAnsi="Times New Roman"/>
          <w:sz w:val="24"/>
          <w:szCs w:val="24"/>
        </w:rPr>
      </w:r>
    </w:p>
    <w:p>
      <w:pPr>
        <w:pStyle w:val="874"/>
        <w:jc w:val="both"/>
        <w:rPr>
          <w:rFonts w:ascii="Times New Roman" w:hAnsi="Times New Roman" w:cs="Times New Roman"/>
          <w:sz w:val="24"/>
          <w:szCs w:val="24"/>
        </w:rPr>
      </w:pPr>
      <w:r>
        <w:rPr>
          <w:rFonts w:ascii="Times New Roman" w:hAnsi="Times New Roman" w:cs="Times New Roman"/>
          <w:b/>
          <w:sz w:val="24"/>
          <w:szCs w:val="24"/>
        </w:rPr>
        <w:t xml:space="preserve">________________________________________</w:t>
      </w:r>
      <w:r>
        <w:rPr>
          <w:rFonts w:ascii="Times New Roman" w:hAnsi="Times New Roman" w:cs="Times New Roman"/>
          <w:b/>
          <w:sz w:val="24"/>
          <w:szCs w:val="24"/>
        </w:rPr>
        <w:t xml:space="preserve">____</w:t>
      </w:r>
      <w:r>
        <w:rPr>
          <w:rFonts w:ascii="Times New Roman" w:hAnsi="Times New Roman" w:cs="Times New Roman"/>
          <w:b/>
          <w:sz w:val="24"/>
          <w:szCs w:val="24"/>
        </w:rPr>
        <w:t xml:space="preserve">__</w:t>
      </w:r>
      <w:r>
        <w:rPr>
          <w:rFonts w:ascii="Times New Roman" w:hAnsi="Times New Roman" w:cs="Times New Roman"/>
          <w:b/>
          <w:sz w:val="24"/>
          <w:szCs w:val="24"/>
        </w:rPr>
        <w:t xml:space="preserve"> </w:t>
      </w:r>
      <w:r>
        <w:rPr>
          <w:rFonts w:ascii="Times New Roman" w:hAnsi="Times New Roman" w:cs="Times New Roman"/>
          <w:sz w:val="24"/>
          <w:szCs w:val="24"/>
        </w:rPr>
        <w:t xml:space="preserve">(</w:t>
      </w:r>
      <w:r>
        <w:rPr>
          <w:rFonts w:ascii="Times New Roman" w:hAnsi="Times New Roman" w:cs="Times New Roman"/>
          <w:i/>
          <w:sz w:val="24"/>
          <w:szCs w:val="24"/>
        </w:rPr>
        <w:t xml:space="preserve">паспорт серии</w:t>
      </w:r>
      <w:r>
        <w:rPr>
          <w:rFonts w:ascii="Times New Roman" w:hAnsi="Times New Roman" w:cs="Times New Roman"/>
          <w:bCs/>
          <w:i/>
          <w:sz w:val="24"/>
          <w:szCs w:val="24"/>
        </w:rPr>
        <w:t xml:space="preserve"> ________________,</w:t>
      </w:r>
      <w:r>
        <w:rPr>
          <w:rFonts w:ascii="Times New Roman" w:hAnsi="Times New Roman" w:cs="Times New Roman"/>
          <w:i/>
          <w:sz w:val="24"/>
          <w:szCs w:val="24"/>
        </w:rPr>
        <w:t xml:space="preserve"> выдан: </w:t>
      </w:r>
      <w:r>
        <w:rPr>
          <w:rFonts w:ascii="Times New Roman" w:hAnsi="Times New Roman" w:cs="Times New Roman"/>
          <w:bCs/>
          <w:i/>
          <w:sz w:val="24"/>
          <w:szCs w:val="24"/>
        </w:rPr>
        <w:t xml:space="preserve">________</w:t>
      </w:r>
      <w:r>
        <w:rPr>
          <w:rFonts w:ascii="Times New Roman" w:hAnsi="Times New Roman" w:cs="Times New Roman"/>
          <w:i/>
          <w:sz w:val="24"/>
          <w:szCs w:val="24"/>
        </w:rPr>
        <w:t xml:space="preserve"> г. ________________________________________</w:t>
      </w:r>
      <w:r>
        <w:rPr>
          <w:rFonts w:ascii="Times New Roman" w:hAnsi="Times New Roman" w:cs="Times New Roman"/>
          <w:i/>
          <w:sz w:val="24"/>
          <w:szCs w:val="24"/>
        </w:rPr>
        <w:t xml:space="preserve">_______________________________), </w:t>
      </w:r>
      <w:r>
        <w:rPr>
          <w:rFonts w:ascii="Times New Roman" w:hAnsi="Times New Roman" w:cs="Times New Roman"/>
          <w:i/>
          <w:sz w:val="18"/>
          <w:szCs w:val="18"/>
        </w:rPr>
        <w:t xml:space="preserve">(для физ. лиц), либо </w:t>
      </w:r>
      <w:r>
        <w:rPr>
          <w:rFonts w:ascii="Times New Roman" w:hAnsi="Times New Roman" w:cs="Times New Roman"/>
          <w:i/>
          <w:sz w:val="18"/>
          <w:szCs w:val="18"/>
        </w:rPr>
        <w:t xml:space="preserve">полное наименование юридического лица, номер записи в Едином государственном реестре юридических лиц с указанием фамилии, имени, отчества лица, дейст</w:t>
      </w:r>
      <w:r>
        <w:rPr>
          <w:rFonts w:ascii="Times New Roman" w:hAnsi="Times New Roman" w:cs="Times New Roman"/>
          <w:i/>
          <w:sz w:val="18"/>
          <w:szCs w:val="18"/>
        </w:rPr>
        <w:t xml:space="preserve">вующего от имени этого юридического лица, наименования и реквизитов документа, на основании которого он действует, либо фамилия, имя, отчество индивидуального предпринимателя, номер записи в Едином государственном реестре индивидуальных предпринимателей и </w:t>
      </w:r>
      <w:r>
        <w:rPr>
          <w:rFonts w:ascii="Times New Roman" w:hAnsi="Times New Roman" w:cs="Times New Roman"/>
          <w:i/>
          <w:sz w:val="18"/>
          <w:szCs w:val="18"/>
        </w:rPr>
        <w:t xml:space="preserve">дата ее внесения в реестр. В случае, если договор подписывается представителем индивидуального предпринимателя, то вносится указание на представительство, а также наименование и реквизиты документа, закрепляющего полномочия лица, действующего от его имени)</w:t>
      </w:r>
      <w:r>
        <w:rPr>
          <w:rFonts w:ascii="Times New Roman" w:hAnsi="Times New Roman" w:cs="Times New Roman"/>
          <w:sz w:val="18"/>
          <w:szCs w:val="18"/>
        </w:rPr>
        <w:t xml:space="preserve">,</w:t>
      </w:r>
      <w:r>
        <w:rPr>
          <w:rFonts w:ascii="Times New Roman" w:hAnsi="Times New Roman" w:cs="Times New Roman"/>
          <w:sz w:val="24"/>
          <w:szCs w:val="24"/>
        </w:rPr>
        <w:t xml:space="preserve"> именуемым(ой) в дальнейшем заявителем, с другой стороны, вместе именуемыми Сторонами, заключение договора осуществляется на следующих условиях:</w:t>
      </w:r>
      <w:r>
        <w:rPr>
          <w:rFonts w:ascii="Times New Roman" w:hAnsi="Times New Roman" w:cs="Times New Roman"/>
          <w:sz w:val="24"/>
          <w:szCs w:val="24"/>
        </w:rPr>
      </w:r>
    </w:p>
    <w:p>
      <w:pPr>
        <w:pStyle w:val="673"/>
        <w:spacing w:after="0" w:line="240" w:lineRule="auto"/>
        <w:ind w:firstLine="426"/>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0"/>
        </w:numPr>
        <w:spacing w:after="0" w:line="240" w:lineRule="auto"/>
        <w:ind w:left="0" w:firstLine="426"/>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Предмет Договора</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8"/>
          <w:ilvl w:val="1"/>
        </w:numPr>
        <w:tabs>
          <w:tab w:val="left" w:pos="709" w:leader="none"/>
        </w:tabs>
        <w:spacing w:after="0" w:line="240" w:lineRule="auto"/>
        <w:ind w:left="0" w:firstLine="426"/>
        <w:contextualSpacing/>
        <w:jc w:val="both"/>
        <w:rPr>
          <w:rFonts w:ascii="Times New Roman" w:hAnsi="Times New Roman"/>
          <w:spacing w:val="-4"/>
          <w:sz w:val="24"/>
          <w:szCs w:val="24"/>
          <w:highlight w:val="white"/>
        </w:rPr>
      </w:pPr>
      <w:r>
        <w:rPr>
          <w:rFonts w:ascii="Times New Roman" w:hAnsi="Times New Roman"/>
          <w:spacing w:val="-4"/>
          <w:sz w:val="24"/>
          <w:szCs w:val="24"/>
          <w:highlight w:val="white"/>
        </w:rPr>
        <w:t xml:space="preserve">По Договору Сетевая организация принимает на себя обязательства по осуществлению технологического присоединения энергопринимающих устройств </w:t>
      </w:r>
      <w:r>
        <w:rPr>
          <w:rFonts w:ascii="Times New Roman" w:hAnsi="Times New Roman"/>
          <w:b/>
          <w:sz w:val="24"/>
          <w:szCs w:val="24"/>
        </w:rPr>
        <w:t xml:space="preserve">Электроприемники</w:t>
      </w:r>
      <w:r>
        <w:rPr>
          <w:b/>
          <w:szCs w:val="24"/>
        </w:rPr>
        <w:t xml:space="preserve"> </w:t>
      </w:r>
      <w:r>
        <w:rPr>
          <w:rFonts w:ascii="Times New Roman" w:hAnsi="Times New Roman"/>
          <w:b/>
          <w:sz w:val="24"/>
          <w:szCs w:val="24"/>
        </w:rPr>
        <w:t xml:space="preserve">(</w:t>
      </w:r>
      <w:r>
        <w:rPr>
          <w:rFonts w:ascii="Times New Roman" w:hAnsi="Times New Roman"/>
          <w:sz w:val="24"/>
          <w:szCs w:val="24"/>
        </w:rPr>
        <w:t xml:space="preserve">далее – энергопринимающие устройства) Заявителя, расположенно</w:t>
      </w:r>
      <w:r>
        <w:rPr>
          <w:rFonts w:ascii="Times New Roman" w:hAnsi="Times New Roman"/>
          <w:sz w:val="24"/>
          <w:szCs w:val="24"/>
        </w:rPr>
        <w:t xml:space="preserve">й</w:t>
      </w:r>
      <w:r>
        <w:rPr>
          <w:rFonts w:ascii="Times New Roman" w:hAnsi="Times New Roman"/>
          <w:sz w:val="24"/>
          <w:szCs w:val="24"/>
        </w:rPr>
        <w:t xml:space="preserve"> по адресу:</w:t>
      </w:r>
      <w:r>
        <w:rPr>
          <w:rFonts w:ascii="Times New Roman" w:hAnsi="Times New Roman"/>
          <w:b/>
          <w:sz w:val="24"/>
          <w:szCs w:val="24"/>
        </w:rPr>
        <w:t xml:space="preserve"> </w:t>
      </w:r>
      <w:r>
        <w:rPr>
          <w:rFonts w:ascii="Times New Roman" w:hAnsi="Times New Roman"/>
          <w:sz w:val="24"/>
          <w:szCs w:val="24"/>
        </w:rPr>
        <w:t xml:space="preserve">со следующими характеристиками:</w:t>
      </w:r>
      <w:r>
        <w:rPr>
          <w:rFonts w:ascii="Times New Roman" w:hAnsi="Times New Roman"/>
          <w:spacing w:val="-4"/>
          <w:sz w:val="24"/>
          <w:szCs w:val="24"/>
          <w:highlight w:val="white"/>
        </w:rPr>
        <w:t xml:space="preserve"> </w:t>
      </w:r>
      <w:r>
        <w:rPr>
          <w:rFonts w:ascii="Times New Roman" w:hAnsi="Times New Roman"/>
          <w:spacing w:val="-4"/>
          <w:sz w:val="24"/>
          <w:szCs w:val="24"/>
          <w:highlight w:val="white"/>
        </w:rPr>
      </w:r>
      <w:r>
        <w:rPr>
          <w:rFonts w:ascii="Times New Roman" w:hAnsi="Times New Roman"/>
          <w:spacing w:val="-4"/>
          <w:sz w:val="24"/>
          <w:szCs w:val="24"/>
          <w:highlight w:val="white"/>
        </w:rPr>
      </w:r>
    </w:p>
    <w:p>
      <w:pPr>
        <w:pStyle w:val="871"/>
        <w:widowControl/>
        <w:numPr>
          <w:numId w:val="16"/>
          <w:ilvl w:val="0"/>
        </w:numPr>
        <w:ind w:left="0" w:firstLine="426"/>
        <w:jc w:val="both"/>
        <w:rPr>
          <w:rFonts w:ascii="Times New Roman" w:hAnsi="Times New Roman" w:cs="Times New Roman"/>
          <w:sz w:val="24"/>
          <w:szCs w:val="24"/>
        </w:rPr>
      </w:pPr>
      <w:r>
        <w:rPr>
          <w:rFonts w:ascii="Times New Roman" w:hAnsi="Times New Roman" w:cs="Times New Roman"/>
          <w:sz w:val="24"/>
          <w:szCs w:val="24"/>
        </w:rPr>
        <w:t xml:space="preserve">максимальная мощность энергопринимающих устройств: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DOCVARIABLE ЗаявленнаяМощность</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______</w:t>
      </w:r>
      <w:r>
        <w:rPr>
          <w:rFonts w:ascii="Times New Roman" w:hAnsi="Times New Roman" w:cs="Times New Roman"/>
          <w:sz w:val="24"/>
          <w:szCs w:val="24"/>
        </w:rPr>
        <w:t xml:space="preserve"> кВт</w:t>
      </w:r>
      <w:r>
        <w:rPr>
          <w:rFonts w:ascii="Times New Roman" w:hAnsi="Times New Roman" w:cs="Times New Roman"/>
          <w:sz w:val="24"/>
          <w:szCs w:val="24"/>
        </w:rPr>
        <w:fldChar w:fldCharType="end"/>
        <w:fldChar w:fldCharType="begin"/>
      </w:r>
      <w:r>
        <w:rPr>
          <w:rFonts w:ascii="Times New Roman" w:hAnsi="Times New Roman" w:cs="Times New Roman"/>
          <w:sz w:val="24"/>
          <w:szCs w:val="24"/>
        </w:rPr>
        <w:instrText xml:space="preserve">DOCVARIABLE МаксМощностьПоЭтапам</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w:t>
      </w:r>
      <w:r>
        <w:rPr>
          <w:rFonts w:ascii="Times New Roman" w:hAnsi="Times New Roman" w:cs="Times New Roman"/>
          <w:sz w:val="24"/>
          <w:szCs w:val="24"/>
        </w:rPr>
        <w:fldChar w:fldCharType="end"/>
      </w:r>
      <w:r>
        <w:rPr>
          <w:rFonts w:ascii="Times New Roman" w:hAnsi="Times New Roman" w:cs="Times New Roman"/>
          <w:sz w:val="24"/>
          <w:szCs w:val="24"/>
        </w:rPr>
        <w:t xml:space="preserve"> в том числе:</w:t>
      </w:r>
      <w:r>
        <w:rPr>
          <w:rFonts w:ascii="Times New Roman" w:hAnsi="Times New Roman" w:cs="Times New Roman"/>
          <w:sz w:val="24"/>
          <w:szCs w:val="24"/>
        </w:rPr>
      </w:r>
    </w:p>
    <w:p>
      <w:pPr>
        <w:pStyle w:val="871"/>
        <w:widowControl/>
        <w:numPr>
          <w:numId w:val="15"/>
          <w:ilvl w:val="0"/>
        </w:numPr>
        <w:ind w:left="0" w:firstLine="426"/>
        <w:jc w:val="both"/>
        <w:rPr>
          <w:rFonts w:ascii="Times New Roman" w:hAnsi="Times New Roman" w:cs="Times New Roman"/>
          <w:sz w:val="24"/>
          <w:szCs w:val="24"/>
        </w:rPr>
      </w:pPr>
      <w:bookmarkStart w:id="0" w:name="СущМощность"/>
      <w:bookmarkEnd w:id="0"/>
      <w:r>
        <w:rPr>
          <w:rFonts w:ascii="Times New Roman" w:hAnsi="Times New Roman" w:cs="Times New Roman"/>
          <w:sz w:val="24"/>
          <w:szCs w:val="24"/>
        </w:rPr>
        <w:t xml:space="preserve">максимальная мощность </w:t>
      </w:r>
      <w:r>
        <w:rPr>
          <w:rFonts w:ascii="Times New Roman" w:hAnsi="Times New Roman" w:cs="Times New Roman"/>
          <w:bCs/>
          <w:sz w:val="24"/>
          <w:szCs w:val="24"/>
        </w:rPr>
        <w:t xml:space="preserve">ранее присоединенных энергопринимающих устройств: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DOCVARIABLE СуществующаяМощность</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____</w:t>
      </w:r>
      <w:r>
        <w:rPr>
          <w:rFonts w:ascii="Times New Roman" w:hAnsi="Times New Roman" w:cs="Times New Roman"/>
          <w:sz w:val="24"/>
          <w:szCs w:val="24"/>
        </w:rPr>
        <w:t xml:space="preserve"> кВт</w:t>
      </w:r>
      <w:r>
        <w:rPr>
          <w:rFonts w:ascii="Times New Roman" w:hAnsi="Times New Roman" w:cs="Times New Roman"/>
          <w:sz w:val="24"/>
          <w:szCs w:val="24"/>
        </w:rPr>
        <w:fldChar w:fldCharType="end"/>
      </w:r>
      <w:r>
        <w:rPr>
          <w:rFonts w:ascii="Times New Roman" w:hAnsi="Times New Roman" w:cs="Times New Roman"/>
          <w:sz w:val="24"/>
          <w:szCs w:val="24"/>
        </w:rPr>
        <w:t xml:space="preserve">;</w:t>
      </w:r>
      <w:r>
        <w:rPr>
          <w:rFonts w:ascii="Times New Roman" w:hAnsi="Times New Roman" w:cs="Times New Roman"/>
          <w:sz w:val="24"/>
          <w:szCs w:val="24"/>
        </w:rPr>
      </w:r>
    </w:p>
    <w:p>
      <w:pPr>
        <w:pStyle w:val="871"/>
        <w:widowControl/>
        <w:numPr>
          <w:numId w:val="15"/>
          <w:ilvl w:val="0"/>
        </w:numPr>
        <w:ind w:left="0" w:firstLine="426"/>
        <w:jc w:val="both"/>
        <w:rPr>
          <w:rFonts w:ascii="Times New Roman" w:hAnsi="Times New Roman" w:cs="Times New Roman"/>
          <w:sz w:val="24"/>
          <w:szCs w:val="24"/>
        </w:rPr>
      </w:pPr>
      <w:bookmarkStart w:id="1" w:name="УвелМощности"/>
      <w:bookmarkEnd w:id="1"/>
      <w:r>
        <w:rPr>
          <w:rFonts w:ascii="Times New Roman" w:hAnsi="Times New Roman" w:cs="Times New Roman"/>
          <w:sz w:val="24"/>
          <w:szCs w:val="24"/>
        </w:rPr>
        <w:t xml:space="preserve">максимальная мощность вновь присоединяемых энергопринимающих устройств: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DOCVARIABLE УвеличениеЗаявленнойМощности</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_____ </w:t>
      </w:r>
      <w:r>
        <w:rPr>
          <w:rFonts w:ascii="Times New Roman" w:hAnsi="Times New Roman" w:cs="Times New Roman"/>
          <w:sz w:val="24"/>
          <w:szCs w:val="24"/>
        </w:rPr>
        <w:t xml:space="preserve">кВт</w:t>
      </w:r>
      <w:r>
        <w:rPr>
          <w:rFonts w:ascii="Times New Roman" w:hAnsi="Times New Roman" w:cs="Times New Roman"/>
          <w:sz w:val="24"/>
          <w:szCs w:val="24"/>
        </w:rPr>
        <w:fldChar w:fldCharType="end"/>
        <w:fldChar w:fldCharType="begin"/>
      </w:r>
      <w:r>
        <w:rPr>
          <w:rFonts w:ascii="Times New Roman" w:hAnsi="Times New Roman" w:cs="Times New Roman"/>
          <w:sz w:val="24"/>
          <w:szCs w:val="24"/>
        </w:rPr>
        <w:instrText xml:space="preserve">DOCVARIABLE МощностьПоЭтапам</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w:t>
      </w:r>
      <w:r>
        <w:rPr>
          <w:rFonts w:ascii="Times New Roman" w:hAnsi="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871"/>
        <w:widowControl/>
        <w:numPr>
          <w:numId w:val="16"/>
          <w:ilvl w:val="0"/>
        </w:numPr>
        <w:ind w:left="0" w:firstLine="426"/>
        <w:jc w:val="both"/>
        <w:rPr>
          <w:rFonts w:ascii="Times New Roman" w:hAnsi="Times New Roman" w:cs="Times New Roman"/>
          <w:sz w:val="24"/>
          <w:szCs w:val="24"/>
        </w:rPr>
      </w:pPr>
      <w:r>
        <w:rPr>
          <w:rFonts w:ascii="Times New Roman" w:hAnsi="Times New Roman" w:cs="Times New Roman"/>
          <w:sz w:val="24"/>
          <w:szCs w:val="24"/>
        </w:rPr>
        <w:t xml:space="preserve">категория надежности электроснабжения: </w:t>
      </w:r>
      <w:r>
        <w:rPr>
          <w:rFonts w:ascii="Times New Roman" w:hAnsi="Times New Roman" w:cs="Times New Roman"/>
          <w:sz w:val="24"/>
          <w:szCs w:val="24"/>
        </w:rPr>
        <w:t xml:space="preserve">___________</w:t>
      </w:r>
      <w:r>
        <w:rPr>
          <w:rFonts w:ascii="Times New Roman" w:hAnsi="Times New Roman" w:cs="Times New Roman"/>
          <w:sz w:val="24"/>
          <w:szCs w:val="24"/>
        </w:rPr>
        <w:fldChar w:fldCharType="begin"/>
      </w:r>
      <w:r>
        <w:rPr>
          <w:rFonts w:ascii="Times New Roman" w:hAnsi="Times New Roman" w:cs="Times New Roman"/>
          <w:sz w:val="24"/>
          <w:szCs w:val="24"/>
        </w:rPr>
        <w:instrText xml:space="preserve">DOCVARIABLE МощностьКатегорииПоЭтапам</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w:t>
      </w:r>
      <w:r>
        <w:rPr>
          <w:rFonts w:ascii="Times New Roman" w:hAnsi="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871"/>
        <w:widowControl/>
        <w:numPr>
          <w:numId w:val="16"/>
          <w:ilvl w:val="0"/>
        </w:numPr>
        <w:ind w:left="0" w:firstLine="426"/>
        <w:jc w:val="both"/>
        <w:rPr>
          <w:rFonts w:ascii="Times New Roman" w:hAnsi="Times New Roman" w:cs="Times New Roman"/>
          <w:sz w:val="24"/>
          <w:szCs w:val="24"/>
        </w:rPr>
      </w:pPr>
      <w:bookmarkStart w:id="2" w:name="РаспределениеМощностиПоТочкам"/>
      <w:bookmarkEnd w:id="2"/>
      <w:r>
        <w:rPr>
          <w:rFonts w:ascii="Times New Roman" w:hAnsi="Times New Roman" w:cs="Times New Roman"/>
          <w:sz w:val="24"/>
          <w:szCs w:val="24"/>
        </w:rPr>
        <w:t xml:space="preserve">точки присоединения</w:t>
      </w:r>
      <w:r>
        <w:rPr>
          <w:rFonts w:ascii="Times New Roman" w:hAnsi="Times New Roman" w:cs="Times New Roman"/>
          <w:sz w:val="24"/>
          <w:szCs w:val="24"/>
        </w:rPr>
        <w:t xml:space="preserve">*</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bl>
      <w:tblPr>
        <w:tblW w:w="1020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710"/>
        <w:gridCol w:w="2126"/>
        <w:gridCol w:w="3261"/>
        <w:gridCol w:w="1416"/>
        <w:gridCol w:w="1559"/>
        <w:gridCol w:w="1135"/>
      </w:tblGrid>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0" w:type="dxa"/>
            <w:noWrap w:val="false"/>
            <w:textDirection w:val="lrTb"/>
            <w:vAlign w:val="center"/>
          </w:tcPr>
          <w:p>
            <w:pPr>
              <w:pStyle w:val="884"/>
              <w:jc w:val="center"/>
              <w:rPr>
                <w:b/>
                <w:sz w:val="20"/>
                <w:szCs w:val="20"/>
              </w:rPr>
            </w:pPr>
            <w:r>
              <w:rPr>
                <w:b/>
                <w:sz w:val="20"/>
                <w:szCs w:val="20"/>
              </w:rPr>
              <w:t xml:space="preserve">№ точки</w:t>
            </w:r>
            <w:r>
              <w:rPr>
                <w:b/>
                <w:sz w:val="20"/>
                <w:szCs w:val="20"/>
              </w:rPr>
            </w:r>
          </w:p>
        </w:tc>
        <w:tc>
          <w:tcPr>
            <w:tcW w:w="2126" w:type="dxa"/>
            <w:noWrap w:val="false"/>
            <w:textDirection w:val="lrTb"/>
            <w:vAlign w:val="center"/>
          </w:tcPr>
          <w:p>
            <w:pPr>
              <w:pStyle w:val="884"/>
              <w:jc w:val="center"/>
              <w:rPr>
                <w:b/>
                <w:sz w:val="20"/>
                <w:szCs w:val="20"/>
              </w:rPr>
            </w:pPr>
            <w:r>
              <w:rPr>
                <w:b/>
                <w:sz w:val="20"/>
                <w:szCs w:val="20"/>
              </w:rPr>
              <w:t xml:space="preserve">Источник питания (наименование питающих линий)</w:t>
            </w:r>
            <w:r>
              <w:rPr>
                <w:b/>
                <w:sz w:val="20"/>
                <w:szCs w:val="20"/>
              </w:rPr>
            </w:r>
            <w:r>
              <w:rPr>
                <w:b/>
                <w:sz w:val="20"/>
                <w:szCs w:val="20"/>
              </w:rPr>
            </w:r>
          </w:p>
        </w:tc>
        <w:tc>
          <w:tcPr>
            <w:tcW w:w="3261" w:type="dxa"/>
            <w:noWrap w:val="false"/>
            <w:textDirection w:val="lrTb"/>
            <w:vAlign w:val="center"/>
          </w:tcPr>
          <w:p>
            <w:pPr>
              <w:pStyle w:val="884"/>
              <w:jc w:val="center"/>
              <w:rPr>
                <w:b/>
                <w:sz w:val="20"/>
                <w:szCs w:val="20"/>
              </w:rPr>
            </w:pPr>
            <w:r>
              <w:rPr>
                <w:b/>
                <w:sz w:val="20"/>
                <w:szCs w:val="20"/>
              </w:rPr>
              <w:t xml:space="preserve">Описание точки присоединения</w:t>
            </w:r>
            <w:r>
              <w:rPr>
                <w:b/>
                <w:sz w:val="20"/>
                <w:szCs w:val="20"/>
              </w:rPr>
            </w:r>
          </w:p>
        </w:tc>
        <w:tc>
          <w:tcPr>
            <w:tcW w:w="1416" w:type="dxa"/>
            <w:noWrap w:val="false"/>
            <w:textDirection w:val="lrTb"/>
            <w:vAlign w:val="center"/>
          </w:tcPr>
          <w:p>
            <w:pPr>
              <w:pStyle w:val="884"/>
              <w:jc w:val="center"/>
              <w:rPr>
                <w:b/>
                <w:sz w:val="20"/>
                <w:szCs w:val="20"/>
              </w:rPr>
            </w:pPr>
            <w:r>
              <w:rPr>
                <w:b/>
                <w:sz w:val="20"/>
                <w:szCs w:val="20"/>
              </w:rPr>
              <w:t xml:space="preserve">Категория надежности</w:t>
            </w:r>
            <w:r>
              <w:rPr>
                <w:b/>
                <w:sz w:val="20"/>
                <w:szCs w:val="20"/>
              </w:rPr>
            </w:r>
          </w:p>
        </w:tc>
        <w:tc>
          <w:tcPr>
            <w:tcW w:w="1559" w:type="dxa"/>
            <w:noWrap w:val="false"/>
            <w:textDirection w:val="lrTb"/>
            <w:vAlign w:val="center"/>
          </w:tcPr>
          <w:p>
            <w:pPr>
              <w:pStyle w:val="884"/>
              <w:jc w:val="center"/>
              <w:rPr>
                <w:b/>
                <w:sz w:val="20"/>
                <w:szCs w:val="20"/>
              </w:rPr>
            </w:pPr>
            <w:r>
              <w:rPr>
                <w:b/>
                <w:sz w:val="18"/>
                <w:szCs w:val="18"/>
              </w:rPr>
              <w:t xml:space="preserve">Максимальнаямощность</w:t>
            </w:r>
            <w:r>
              <w:rPr>
                <w:b/>
                <w:sz w:val="18"/>
                <w:szCs w:val="18"/>
              </w:rPr>
              <w:t xml:space="preserve">*</w:t>
            </w:r>
            <w:r>
              <w:rPr>
                <w:b/>
                <w:sz w:val="18"/>
                <w:szCs w:val="18"/>
              </w:rPr>
              <w:t xml:space="preserve"> (кВт)</w:t>
            </w:r>
            <w:r>
              <w:rPr>
                <w:b/>
                <w:sz w:val="18"/>
                <w:szCs w:val="18"/>
              </w:rPr>
              <w:t xml:space="preserve"> </w:t>
            </w:r>
            <w:r>
              <w:rPr>
                <w:b/>
                <w:sz w:val="20"/>
                <w:szCs w:val="20"/>
              </w:rPr>
            </w:r>
            <w:r>
              <w:rPr>
                <w:b/>
                <w:sz w:val="20"/>
                <w:szCs w:val="20"/>
              </w:rPr>
            </w:r>
          </w:p>
        </w:tc>
        <w:tc>
          <w:tcPr>
            <w:tcW w:w="1135" w:type="dxa"/>
            <w:noWrap w:val="false"/>
            <w:textDirection w:val="lrTb"/>
            <w:vAlign w:val="center"/>
          </w:tcPr>
          <w:p>
            <w:pPr>
              <w:pStyle w:val="884"/>
              <w:jc w:val="center"/>
              <w:rPr>
                <w:b/>
                <w:sz w:val="20"/>
                <w:szCs w:val="20"/>
              </w:rPr>
            </w:pPr>
            <w:r>
              <w:rPr>
                <w:b/>
                <w:sz w:val="20"/>
                <w:szCs w:val="20"/>
              </w:rPr>
              <w:t xml:space="preserve">Вид питания</w:t>
            </w:r>
            <w:r>
              <w:rPr>
                <w:b/>
                <w:sz w:val="20"/>
                <w:szCs w:val="20"/>
              </w:rPr>
            </w:r>
          </w:p>
        </w:tc>
      </w:tr>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0" w:type="dxa"/>
            <w:noWrap w:val="false"/>
            <w:textDirection w:val="lrTb"/>
            <w:vAlign w:val="center"/>
          </w:tcPr>
          <w:p>
            <w:pPr>
              <w:pStyle w:val="884"/>
              <w:jc w:val="center"/>
              <w:rPr>
                <w:sz w:val="20"/>
                <w:szCs w:val="20"/>
              </w:rPr>
            </w:pPr>
            <w:r>
              <w:rPr>
                <w:sz w:val="20"/>
                <w:szCs w:val="20"/>
              </w:rPr>
              <w:t xml:space="preserve">1</w:t>
            </w:r>
            <w:r>
              <w:rPr>
                <w:sz w:val="20"/>
                <w:szCs w:val="20"/>
              </w:rPr>
            </w:r>
            <w:r>
              <w:rPr>
                <w:sz w:val="20"/>
                <w:szCs w:val="20"/>
              </w:rPr>
            </w:r>
          </w:p>
        </w:tc>
        <w:tc>
          <w:tcPr>
            <w:tcW w:w="2126" w:type="dxa"/>
            <w:noWrap w:val="false"/>
            <w:textDirection w:val="lrTb"/>
            <w:vAlign w:val="center"/>
          </w:tcPr>
          <w:p>
            <w:pPr>
              <w:pStyle w:val="884"/>
              <w:rPr>
                <w:sz w:val="20"/>
                <w:szCs w:val="20"/>
              </w:rPr>
            </w:pPr>
            <w:r>
              <w:rPr>
                <w:sz w:val="20"/>
                <w:szCs w:val="20"/>
              </w:rPr>
            </w:r>
            <w:r>
              <w:rPr>
                <w:sz w:val="20"/>
                <w:szCs w:val="20"/>
              </w:rPr>
            </w:r>
          </w:p>
        </w:tc>
        <w:tc>
          <w:tcPr>
            <w:tcW w:w="3261" w:type="dxa"/>
            <w:noWrap w:val="false"/>
            <w:textDirection w:val="lrTb"/>
            <w:vAlign w:val="top"/>
          </w:tcPr>
          <w:p>
            <w:pPr>
              <w:pStyle w:val="884"/>
              <w:rPr>
                <w:sz w:val="20"/>
                <w:szCs w:val="20"/>
              </w:rPr>
            </w:pPr>
            <w:r>
              <w:rPr>
                <w:sz w:val="20"/>
                <w:szCs w:val="20"/>
              </w:rPr>
            </w:r>
            <w:r>
              <w:rPr>
                <w:sz w:val="20"/>
                <w:szCs w:val="20"/>
              </w:rPr>
            </w:r>
          </w:p>
        </w:tc>
        <w:tc>
          <w:tcPr>
            <w:tcW w:w="1416" w:type="dxa"/>
            <w:noWrap w:val="false"/>
            <w:textDirection w:val="lrTb"/>
            <w:vAlign w:val="center"/>
          </w:tcPr>
          <w:p>
            <w:pPr>
              <w:pStyle w:val="884"/>
              <w:jc w:val="center"/>
              <w:rPr>
                <w:sz w:val="20"/>
                <w:szCs w:val="20"/>
              </w:rPr>
            </w:pPr>
            <w:r>
              <w:rPr>
                <w:sz w:val="20"/>
                <w:szCs w:val="20"/>
              </w:rPr>
            </w:r>
            <w:r>
              <w:rPr>
                <w:sz w:val="20"/>
                <w:szCs w:val="20"/>
              </w:rPr>
            </w:r>
          </w:p>
        </w:tc>
        <w:tc>
          <w:tcPr>
            <w:tcW w:w="1559" w:type="dxa"/>
            <w:noWrap w:val="false"/>
            <w:textDirection w:val="lrTb"/>
            <w:vAlign w:val="center"/>
          </w:tcPr>
          <w:p>
            <w:pPr>
              <w:pStyle w:val="884"/>
              <w:jc w:val="center"/>
              <w:rPr>
                <w:sz w:val="20"/>
                <w:szCs w:val="20"/>
              </w:rPr>
            </w:pPr>
            <w:r>
              <w:rPr>
                <w:sz w:val="20"/>
                <w:szCs w:val="20"/>
              </w:rPr>
            </w:r>
            <w:r>
              <w:rPr>
                <w:sz w:val="20"/>
                <w:szCs w:val="20"/>
              </w:rPr>
            </w:r>
          </w:p>
        </w:tc>
        <w:tc>
          <w:tcPr>
            <w:tcW w:w="1135" w:type="dxa"/>
            <w:noWrap w:val="false"/>
            <w:textDirection w:val="lrTb"/>
            <w:vAlign w:val="center"/>
          </w:tcPr>
          <w:p>
            <w:pPr>
              <w:pStyle w:val="884"/>
              <w:jc w:val="center"/>
              <w:rPr>
                <w:sz w:val="20"/>
                <w:szCs w:val="20"/>
              </w:rPr>
            </w:pPr>
            <w:r>
              <w:rPr>
                <w:sz w:val="20"/>
                <w:szCs w:val="20"/>
              </w:rPr>
              <w:t xml:space="preserve">Основное</w:t>
            </w:r>
            <w:r>
              <w:rPr>
                <w:sz w:val="20"/>
                <w:szCs w:val="20"/>
              </w:rPr>
              <w:t xml:space="preserve">/Резервное</w:t>
            </w:r>
            <w:r>
              <w:rPr>
                <w:sz w:val="20"/>
                <w:szCs w:val="20"/>
              </w:rPr>
            </w:r>
            <w:r>
              <w:rPr>
                <w:sz w:val="20"/>
                <w:szCs w:val="20"/>
              </w:rPr>
            </w:r>
          </w:p>
        </w:tc>
      </w:tr>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0" w:type="dxa"/>
            <w:noWrap w:val="false"/>
            <w:textDirection w:val="lrTb"/>
            <w:vAlign w:val="center"/>
          </w:tcPr>
          <w:p>
            <w:pPr>
              <w:pStyle w:val="884"/>
              <w:jc w:val="center"/>
              <w:rPr>
                <w:sz w:val="20"/>
                <w:szCs w:val="20"/>
              </w:rPr>
            </w:pPr>
            <w:r>
              <w:rPr>
                <w:sz w:val="20"/>
                <w:szCs w:val="20"/>
              </w:rPr>
              <w:t xml:space="preserve">2</w:t>
            </w:r>
            <w:r>
              <w:rPr>
                <w:sz w:val="20"/>
                <w:szCs w:val="20"/>
              </w:rPr>
            </w:r>
          </w:p>
        </w:tc>
        <w:tc>
          <w:tcPr>
            <w:tcW w:w="2126" w:type="dxa"/>
            <w:noWrap w:val="false"/>
            <w:textDirection w:val="lrTb"/>
            <w:vAlign w:val="center"/>
          </w:tcPr>
          <w:p>
            <w:pPr>
              <w:pStyle w:val="884"/>
              <w:rPr>
                <w:sz w:val="20"/>
                <w:szCs w:val="20"/>
              </w:rPr>
            </w:pPr>
            <w:r>
              <w:rPr>
                <w:sz w:val="20"/>
                <w:szCs w:val="20"/>
              </w:rPr>
            </w:r>
            <w:r>
              <w:rPr>
                <w:sz w:val="20"/>
                <w:szCs w:val="20"/>
              </w:rPr>
            </w:r>
          </w:p>
        </w:tc>
        <w:tc>
          <w:tcPr>
            <w:tcW w:w="3261" w:type="dxa"/>
            <w:noWrap w:val="false"/>
            <w:textDirection w:val="lrTb"/>
            <w:vAlign w:val="top"/>
          </w:tcPr>
          <w:p>
            <w:pPr>
              <w:pStyle w:val="884"/>
              <w:rPr>
                <w:sz w:val="20"/>
                <w:szCs w:val="20"/>
              </w:rPr>
            </w:pPr>
            <w:r>
              <w:rPr>
                <w:sz w:val="20"/>
                <w:szCs w:val="20"/>
              </w:rPr>
            </w:r>
            <w:r>
              <w:rPr>
                <w:sz w:val="20"/>
                <w:szCs w:val="20"/>
              </w:rPr>
            </w:r>
          </w:p>
        </w:tc>
        <w:tc>
          <w:tcPr>
            <w:tcW w:w="1416" w:type="dxa"/>
            <w:noWrap w:val="false"/>
            <w:textDirection w:val="lrTb"/>
            <w:vAlign w:val="center"/>
          </w:tcPr>
          <w:p>
            <w:pPr>
              <w:pStyle w:val="884"/>
              <w:jc w:val="center"/>
              <w:rPr>
                <w:sz w:val="20"/>
                <w:szCs w:val="20"/>
              </w:rPr>
            </w:pPr>
            <w:r>
              <w:rPr>
                <w:sz w:val="20"/>
                <w:szCs w:val="20"/>
              </w:rPr>
              <w:t xml:space="preserve">Вторая</w:t>
            </w:r>
            <w:r>
              <w:rPr>
                <w:sz w:val="20"/>
                <w:szCs w:val="20"/>
              </w:rPr>
            </w:r>
            <w:r>
              <w:rPr>
                <w:sz w:val="20"/>
                <w:szCs w:val="20"/>
              </w:rPr>
            </w:r>
          </w:p>
        </w:tc>
        <w:tc>
          <w:tcPr>
            <w:tcW w:w="1559" w:type="dxa"/>
            <w:noWrap w:val="false"/>
            <w:textDirection w:val="lrTb"/>
            <w:vAlign w:val="center"/>
          </w:tcPr>
          <w:p>
            <w:pPr>
              <w:pStyle w:val="884"/>
              <w:jc w:val="center"/>
              <w:rPr>
                <w:sz w:val="20"/>
                <w:szCs w:val="20"/>
              </w:rPr>
            </w:pPr>
            <w:r>
              <w:rPr>
                <w:sz w:val="20"/>
                <w:szCs w:val="20"/>
              </w:rPr>
            </w:r>
            <w:r>
              <w:rPr>
                <w:sz w:val="20"/>
                <w:szCs w:val="20"/>
              </w:rPr>
            </w:r>
          </w:p>
        </w:tc>
        <w:tc>
          <w:tcPr>
            <w:tcW w:w="1135" w:type="dxa"/>
            <w:noWrap w:val="false"/>
            <w:textDirection w:val="lrTb"/>
            <w:vAlign w:val="center"/>
          </w:tcPr>
          <w:p>
            <w:pPr>
              <w:pStyle w:val="884"/>
              <w:jc w:val="center"/>
              <w:rPr>
                <w:sz w:val="20"/>
                <w:szCs w:val="20"/>
              </w:rPr>
            </w:pPr>
            <w:r>
              <w:rPr>
                <w:sz w:val="20"/>
                <w:szCs w:val="20"/>
              </w:rPr>
              <w:t xml:space="preserve">Основное/Резервное</w:t>
            </w:r>
            <w:r>
              <w:rPr>
                <w:sz w:val="20"/>
                <w:szCs w:val="20"/>
              </w:rPr>
            </w:r>
            <w:r>
              <w:rPr>
                <w:sz w:val="20"/>
                <w:szCs w:val="20"/>
              </w:rPr>
            </w:r>
          </w:p>
        </w:tc>
      </w:tr>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0" w:type="dxa"/>
            <w:noWrap w:val="false"/>
            <w:textDirection w:val="lrTb"/>
            <w:vAlign w:val="center"/>
          </w:tcPr>
          <w:p>
            <w:pPr>
              <w:pStyle w:val="884"/>
              <w:jc w:val="center"/>
              <w:rPr>
                <w:sz w:val="20"/>
                <w:szCs w:val="20"/>
              </w:rPr>
            </w:pPr>
            <w:r>
              <w:rPr>
                <w:sz w:val="20"/>
                <w:szCs w:val="20"/>
              </w:rPr>
              <w:t xml:space="preserve">3</w:t>
            </w:r>
            <w:r>
              <w:rPr>
                <w:sz w:val="20"/>
                <w:szCs w:val="20"/>
              </w:rPr>
            </w:r>
          </w:p>
        </w:tc>
        <w:tc>
          <w:tcPr>
            <w:tcW w:w="2126" w:type="dxa"/>
            <w:noWrap w:val="false"/>
            <w:textDirection w:val="lrTb"/>
            <w:vAlign w:val="center"/>
          </w:tcPr>
          <w:p>
            <w:pPr>
              <w:pStyle w:val="884"/>
              <w:rPr>
                <w:sz w:val="20"/>
                <w:szCs w:val="20"/>
              </w:rPr>
            </w:pPr>
            <w:r>
              <w:rPr>
                <w:sz w:val="20"/>
                <w:szCs w:val="20"/>
              </w:rPr>
            </w:r>
            <w:r>
              <w:rPr>
                <w:sz w:val="20"/>
                <w:szCs w:val="20"/>
              </w:rPr>
            </w:r>
          </w:p>
        </w:tc>
        <w:tc>
          <w:tcPr>
            <w:tcW w:w="3261" w:type="dxa"/>
            <w:noWrap w:val="false"/>
            <w:textDirection w:val="lrTb"/>
            <w:vAlign w:val="top"/>
          </w:tcPr>
          <w:p>
            <w:pPr>
              <w:pStyle w:val="884"/>
              <w:rPr>
                <w:sz w:val="20"/>
                <w:szCs w:val="20"/>
              </w:rPr>
            </w:pPr>
            <w:r>
              <w:rPr>
                <w:sz w:val="20"/>
                <w:szCs w:val="20"/>
              </w:rPr>
            </w:r>
            <w:r>
              <w:rPr>
                <w:sz w:val="20"/>
                <w:szCs w:val="20"/>
              </w:rPr>
            </w:r>
          </w:p>
        </w:tc>
        <w:tc>
          <w:tcPr>
            <w:tcW w:w="1416" w:type="dxa"/>
            <w:noWrap w:val="false"/>
            <w:textDirection w:val="lrTb"/>
            <w:vAlign w:val="center"/>
          </w:tcPr>
          <w:p>
            <w:pPr>
              <w:pStyle w:val="884"/>
              <w:jc w:val="center"/>
              <w:rPr>
                <w:sz w:val="20"/>
                <w:szCs w:val="20"/>
              </w:rPr>
            </w:pPr>
            <w:r>
              <w:rPr>
                <w:sz w:val="20"/>
                <w:szCs w:val="20"/>
              </w:rPr>
              <w:t xml:space="preserve">Вторая</w:t>
            </w:r>
            <w:r>
              <w:rPr>
                <w:sz w:val="20"/>
                <w:szCs w:val="20"/>
              </w:rPr>
            </w:r>
          </w:p>
        </w:tc>
        <w:tc>
          <w:tcPr>
            <w:tcW w:w="1559" w:type="dxa"/>
            <w:noWrap w:val="false"/>
            <w:textDirection w:val="lrTb"/>
            <w:vAlign w:val="center"/>
          </w:tcPr>
          <w:p>
            <w:pPr>
              <w:pStyle w:val="884"/>
              <w:jc w:val="center"/>
              <w:rPr>
                <w:sz w:val="20"/>
                <w:szCs w:val="20"/>
              </w:rPr>
            </w:pPr>
            <w:r>
              <w:rPr>
                <w:sz w:val="20"/>
                <w:szCs w:val="20"/>
              </w:rPr>
            </w:r>
            <w:r>
              <w:rPr>
                <w:sz w:val="20"/>
                <w:szCs w:val="20"/>
              </w:rPr>
            </w:r>
          </w:p>
        </w:tc>
        <w:tc>
          <w:tcPr>
            <w:tcW w:w="1135" w:type="dxa"/>
            <w:noWrap w:val="false"/>
            <w:textDirection w:val="lrTb"/>
            <w:vAlign w:val="center"/>
          </w:tcPr>
          <w:p>
            <w:pPr>
              <w:pStyle w:val="884"/>
              <w:jc w:val="center"/>
              <w:rPr>
                <w:sz w:val="20"/>
                <w:szCs w:val="20"/>
              </w:rPr>
            </w:pPr>
            <w:r>
              <w:rPr>
                <w:sz w:val="20"/>
                <w:szCs w:val="20"/>
              </w:rPr>
              <w:t xml:space="preserve">Основное/Резервное</w:t>
            </w:r>
            <w:r>
              <w:rPr>
                <w:sz w:val="20"/>
                <w:szCs w:val="20"/>
              </w:rPr>
            </w:r>
            <w:r>
              <w:rPr>
                <w:sz w:val="20"/>
                <w:szCs w:val="20"/>
              </w:rPr>
            </w:r>
          </w:p>
        </w:tc>
      </w:tr>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0" w:type="dxa"/>
            <w:noWrap w:val="false"/>
            <w:textDirection w:val="lrTb"/>
            <w:vAlign w:val="center"/>
          </w:tcPr>
          <w:p>
            <w:pPr>
              <w:pStyle w:val="884"/>
              <w:jc w:val="center"/>
              <w:rPr>
                <w:sz w:val="20"/>
                <w:szCs w:val="20"/>
              </w:rPr>
            </w:pPr>
            <w:r>
              <w:rPr>
                <w:sz w:val="20"/>
                <w:szCs w:val="20"/>
              </w:rPr>
              <w:t xml:space="preserve">4</w:t>
            </w:r>
            <w:r>
              <w:rPr>
                <w:sz w:val="20"/>
                <w:szCs w:val="20"/>
              </w:rPr>
            </w:r>
          </w:p>
        </w:tc>
        <w:tc>
          <w:tcPr>
            <w:tcW w:w="2126" w:type="dxa"/>
            <w:noWrap w:val="false"/>
            <w:textDirection w:val="lrTb"/>
            <w:vAlign w:val="center"/>
          </w:tcPr>
          <w:p>
            <w:pPr>
              <w:pStyle w:val="884"/>
              <w:rPr>
                <w:sz w:val="20"/>
                <w:szCs w:val="20"/>
              </w:rPr>
            </w:pPr>
            <w:r>
              <w:rPr>
                <w:sz w:val="20"/>
                <w:szCs w:val="20"/>
              </w:rPr>
            </w:r>
            <w:r>
              <w:rPr>
                <w:sz w:val="20"/>
                <w:szCs w:val="20"/>
              </w:rPr>
            </w:r>
          </w:p>
        </w:tc>
        <w:tc>
          <w:tcPr>
            <w:tcW w:w="3261" w:type="dxa"/>
            <w:noWrap w:val="false"/>
            <w:textDirection w:val="lrTb"/>
            <w:vAlign w:val="top"/>
          </w:tcPr>
          <w:p>
            <w:pPr>
              <w:pStyle w:val="884"/>
              <w:rPr>
                <w:sz w:val="20"/>
                <w:szCs w:val="20"/>
              </w:rPr>
            </w:pPr>
            <w:r>
              <w:rPr>
                <w:sz w:val="20"/>
                <w:szCs w:val="20"/>
              </w:rPr>
            </w:r>
            <w:r>
              <w:rPr>
                <w:sz w:val="20"/>
                <w:szCs w:val="20"/>
              </w:rPr>
            </w:r>
          </w:p>
        </w:tc>
        <w:tc>
          <w:tcPr>
            <w:tcW w:w="1416" w:type="dxa"/>
            <w:noWrap w:val="false"/>
            <w:textDirection w:val="lrTb"/>
            <w:vAlign w:val="center"/>
          </w:tcPr>
          <w:p>
            <w:pPr>
              <w:pStyle w:val="884"/>
              <w:jc w:val="center"/>
              <w:rPr>
                <w:sz w:val="20"/>
                <w:szCs w:val="20"/>
              </w:rPr>
            </w:pPr>
            <w:r>
              <w:rPr>
                <w:sz w:val="20"/>
                <w:szCs w:val="20"/>
              </w:rPr>
              <w:t xml:space="preserve">Вторая</w:t>
            </w:r>
            <w:r>
              <w:rPr>
                <w:sz w:val="20"/>
                <w:szCs w:val="20"/>
              </w:rPr>
            </w:r>
          </w:p>
        </w:tc>
        <w:tc>
          <w:tcPr>
            <w:tcW w:w="1559" w:type="dxa"/>
            <w:noWrap w:val="false"/>
            <w:textDirection w:val="lrTb"/>
            <w:vAlign w:val="center"/>
          </w:tcPr>
          <w:p>
            <w:pPr>
              <w:pStyle w:val="884"/>
              <w:jc w:val="center"/>
              <w:rPr>
                <w:sz w:val="20"/>
                <w:szCs w:val="20"/>
              </w:rPr>
            </w:pPr>
            <w:r>
              <w:rPr>
                <w:sz w:val="20"/>
                <w:szCs w:val="20"/>
              </w:rPr>
            </w:r>
            <w:r>
              <w:rPr>
                <w:sz w:val="20"/>
                <w:szCs w:val="20"/>
              </w:rPr>
            </w:r>
          </w:p>
        </w:tc>
        <w:tc>
          <w:tcPr>
            <w:tcW w:w="1135" w:type="dxa"/>
            <w:noWrap w:val="false"/>
            <w:textDirection w:val="lrTb"/>
            <w:vAlign w:val="center"/>
          </w:tcPr>
          <w:p>
            <w:pPr>
              <w:pStyle w:val="884"/>
              <w:jc w:val="center"/>
              <w:rPr>
                <w:sz w:val="20"/>
                <w:szCs w:val="20"/>
              </w:rPr>
            </w:pPr>
            <w:r>
              <w:rPr>
                <w:sz w:val="20"/>
                <w:szCs w:val="20"/>
              </w:rPr>
              <w:t xml:space="preserve">Основное/Резервное</w:t>
            </w:r>
            <w:r>
              <w:rPr>
                <w:sz w:val="20"/>
                <w:szCs w:val="20"/>
              </w:rPr>
            </w:r>
            <w:r>
              <w:rPr>
                <w:sz w:val="20"/>
                <w:szCs w:val="20"/>
              </w:rPr>
            </w:r>
          </w:p>
        </w:tc>
      </w:tr>
    </w:tbl>
    <w:p>
      <w:pPr>
        <w:pStyle w:val="871"/>
        <w:widowControl/>
        <w:numPr>
          <w:numId w:val="16"/>
          <w:ilvl w:val="0"/>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класс напряжения электрических сетей, к которым осуществляется технологическое</w:t>
      </w:r>
      <w:r>
        <w:rPr>
          <w:rFonts w:ascii="Times New Roman" w:hAnsi="Times New Roman" w:cs="Times New Roman"/>
          <w:bCs/>
          <w:sz w:val="24"/>
          <w:szCs w:val="24"/>
        </w:rPr>
        <w:t xml:space="preserve"> </w:t>
      </w:r>
      <w:r>
        <w:rPr>
          <w:rFonts w:ascii="Times New Roman" w:hAnsi="Times New Roman" w:cs="Times New Roman"/>
          <w:sz w:val="24"/>
          <w:szCs w:val="24"/>
        </w:rPr>
        <w:t xml:space="preserve">присоединение: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DOCVARIABLE Напряжение</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______</w:t>
      </w:r>
      <w:r>
        <w:rPr>
          <w:rFonts w:ascii="Times New Roman" w:hAnsi="Times New Roman" w:cs="Times New Roman"/>
          <w:sz w:val="24"/>
          <w:szCs w:val="24"/>
        </w:rPr>
        <w:t xml:space="preserve"> кВ</w:t>
      </w:r>
      <w:r>
        <w:rPr>
          <w:rFonts w:ascii="Times New Roman" w:hAnsi="Times New Roman" w:cs="Times New Roman"/>
          <w:sz w:val="24"/>
          <w:szCs w:val="24"/>
        </w:rPr>
        <w:fldChar w:fldCharType="end"/>
      </w:r>
      <w:r>
        <w:rPr>
          <w:rFonts w:ascii="Times New Roman" w:hAnsi="Times New Roman" w:cs="Times New Roman"/>
          <w:sz w:val="24"/>
          <w:szCs w:val="24"/>
        </w:rPr>
        <w:t xml:space="preserve">;</w:t>
      </w:r>
      <w:r>
        <w:rPr>
          <w:rFonts w:ascii="Times New Roman" w:hAnsi="Times New Roman" w:cs="Times New Roman"/>
          <w:sz w:val="24"/>
          <w:szCs w:val="24"/>
        </w:rPr>
      </w:r>
    </w:p>
    <w:p>
      <w:pPr>
        <w:pStyle w:val="673"/>
        <w:tabs>
          <w:tab w:val="left" w:pos="0" w:leader="none"/>
          <w:tab w:val="left" w:pos="1418" w:leader="none"/>
        </w:tabs>
        <w:spacing w:after="0" w:line="240" w:lineRule="auto"/>
        <w:ind w:firstLine="567"/>
        <w:jc w:val="both"/>
        <w:rPr>
          <w:rFonts w:ascii="Times New Roman" w:hAnsi="Times New Roman"/>
          <w:sz w:val="24"/>
          <w:szCs w:val="24"/>
        </w:rPr>
      </w:pPr>
      <w:bookmarkStart w:id="3" w:name="ПроизводствоЭЭ_абз1"/>
      <w:bookmarkEnd w:id="3"/>
      <w:bookmarkStart w:id="4" w:name="ПроизводствоЭЭ_абз2"/>
      <w:bookmarkEnd w:id="4"/>
      <w:bookmarkStart w:id="5" w:name="ПроизводствоЭЭ_абз3"/>
      <w:bookmarkEnd w:id="5"/>
      <w:r>
        <w:rPr>
          <w:rFonts w:ascii="Times New Roman" w:hAnsi="Times New Roman"/>
          <w:sz w:val="24"/>
          <w:szCs w:val="24"/>
        </w:rPr>
        <w:t xml:space="preserve">в том числе по обеспечению готовности объектов электросетевого хозяйства (включая их проектирование, строительство, реконструкцию) к присоединению эн</w:t>
      </w:r>
      <w:r>
        <w:rPr>
          <w:rFonts w:ascii="Times New Roman" w:hAnsi="Times New Roman"/>
          <w:sz w:val="24"/>
          <w:szCs w:val="24"/>
        </w:rPr>
        <w:t xml:space="preserve">ергопринимающих устройств Заявителя, урегулированию отношений с 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w:t>
      </w:r>
      <w:r>
        <w:rPr>
          <w:rFonts w:ascii="Times New Roman" w:hAnsi="Times New Roman"/>
          <w:sz w:val="24"/>
          <w:szCs w:val="24"/>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Заявитель об</w:t>
      </w:r>
      <w:r>
        <w:rPr>
          <w:rFonts w:ascii="Times New Roman" w:hAnsi="Times New Roman" w:eastAsia="Times New Roman"/>
          <w:sz w:val="24"/>
          <w:szCs w:val="24"/>
          <w:highlight w:val="white"/>
          <w:lang w:eastAsia="ru-RU"/>
        </w:rPr>
        <w:t xml:space="preserve">язуется выполнить мероприятия, предусмотренные для него в Технических условиях, внести плату за технологическое присоединение и, в случае расторжения Договора/отказа от заключения дополнительного соглашения к Договору об изменении платы за технологическое </w:t>
      </w:r>
      <w:r>
        <w:rPr>
          <w:rFonts w:ascii="Times New Roman" w:hAnsi="Times New Roman" w:eastAsia="Times New Roman"/>
          <w:sz w:val="24"/>
          <w:szCs w:val="24"/>
          <w:highlight w:val="white"/>
          <w:lang w:eastAsia="ru-RU"/>
        </w:rPr>
        <w:t xml:space="preserve">присоединение, либо ненаправления в адрес Сетевой организации подписанного проекта дополнительного соглашения к Договору об изменении платы за технологическое присоединение в течение 30 рабочих дней со дня получения такого проекта дополнительного соглашени</w:t>
      </w:r>
      <w:r>
        <w:rPr>
          <w:rFonts w:ascii="Times New Roman" w:hAnsi="Times New Roman" w:eastAsia="Times New Roman"/>
          <w:sz w:val="24"/>
          <w:szCs w:val="24"/>
          <w:highlight w:val="white"/>
          <w:lang w:eastAsia="ru-RU"/>
        </w:rPr>
        <w:t xml:space="preserve">я к Договору об изменении платы за технологическое присоединение Заявителем, в течение 10 дней со дня предъявления соответствующих требований, оплатить фактически понесенные Сетевой организацией расходы в соответствии с условиями Договора, в том числе факт</w:t>
      </w:r>
      <w:r>
        <w:rPr>
          <w:rFonts w:ascii="Times New Roman" w:hAnsi="Times New Roman" w:eastAsia="Times New Roman"/>
          <w:sz w:val="24"/>
          <w:szCs w:val="24"/>
          <w:highlight w:val="white"/>
          <w:lang w:eastAsia="ru-RU"/>
        </w:rPr>
        <w:t xml:space="preserve">ические понесенные расходы, связанные с подготовкой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w:t>
      </w:r>
      <w:r>
        <w:rPr>
          <w:rFonts w:ascii="Times New Roman" w:hAnsi="Times New Roman" w:eastAsia="Times New Roman"/>
          <w:sz w:val="24"/>
          <w:szCs w:val="24"/>
          <w:highlight w:val="white"/>
          <w:lang w:eastAsia="ru-RU"/>
        </w:rPr>
        <w:t xml:space="preserve">рифов об установлении платы за технологическое присоединение по индивидуальному проекту, с уменьшением таких фактических расходов на размер авансового платежа, предусмотренного пунктом 3.2. Договора (в случае если авансовый платеж был выплачен Заявителем).</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Местом исполнения Договора является местонахождение присоединяемых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1"/>
        </w:numPr>
        <w:tabs>
          <w:tab w:val="left" w:pos="567"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Перечень мероприятий по технологическому присоединению и распределение обязанностей между Сторонами по их выполнению определены в Технических условиях (приложение 1 к настоящему Договору).</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1"/>
        </w:numPr>
        <w:tabs>
          <w:tab w:val="left" w:pos="567"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Срок выполнения Сторонами мероприятий по технологическому присоединению по Договору составляет не более </w:t>
      </w:r>
      <w:r>
        <w:rPr>
          <w:rFonts w:ascii="Times New Roman" w:hAnsi="Times New Roman" w:eastAsia="Times New Roman"/>
          <w:sz w:val="24"/>
          <w:szCs w:val="24"/>
          <w:highlight w:val="white"/>
          <w:lang w:eastAsia="ru-RU"/>
        </w:rPr>
        <w:t xml:space="preserve">2</w:t>
      </w:r>
      <w:r>
        <w:rPr>
          <w:rFonts w:ascii="Times New Roman" w:hAnsi="Times New Roman" w:eastAsia="Times New Roman"/>
          <w:sz w:val="24"/>
          <w:szCs w:val="24"/>
          <w:highlight w:val="white"/>
          <w:lang w:eastAsia="ru-RU"/>
        </w:rPr>
        <w:t xml:space="preserve"> (</w:t>
      </w:r>
      <w:r>
        <w:rPr>
          <w:rFonts w:ascii="Times New Roman" w:hAnsi="Times New Roman" w:eastAsia="Times New Roman"/>
          <w:sz w:val="24"/>
          <w:szCs w:val="24"/>
          <w:highlight w:val="white"/>
          <w:lang w:eastAsia="ru-RU"/>
        </w:rPr>
        <w:t xml:space="preserve">двух</w:t>
      </w:r>
      <w:r>
        <w:rPr>
          <w:rFonts w:ascii="Times New Roman" w:hAnsi="Times New Roman" w:eastAsia="Times New Roman"/>
          <w:sz w:val="24"/>
          <w:szCs w:val="24"/>
          <w:highlight w:val="white"/>
          <w:lang w:eastAsia="ru-RU"/>
        </w:rPr>
        <w:t xml:space="preserve">) </w:t>
      </w:r>
      <w:r>
        <w:rPr>
          <w:rFonts w:ascii="Times New Roman" w:hAnsi="Times New Roman" w:eastAsia="Times New Roman"/>
          <w:sz w:val="24"/>
          <w:szCs w:val="24"/>
          <w:highlight w:val="white"/>
          <w:lang w:eastAsia="ru-RU"/>
        </w:rPr>
        <w:t xml:space="preserve">лет с даты заключения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1"/>
        </w:numPr>
        <w:tabs>
          <w:tab w:val="left" w:pos="567"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Сетевая организация несет балансовую и эксплуатационную ответственность до границ земельного участка Заявителя, а Заявитель – в пределах границ своего земельного участка.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1"/>
        </w:numPr>
        <w:tabs>
          <w:tab w:val="left" w:pos="567"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По окончании осуществления мероприятий по </w:t>
      </w:r>
      <w:r>
        <w:rPr>
          <w:rFonts w:ascii="Times New Roman" w:hAnsi="Times New Roman" w:eastAsia="Times New Roman"/>
          <w:sz w:val="24"/>
          <w:szCs w:val="24"/>
          <w:highlight w:val="white"/>
          <w:lang w:eastAsia="ru-RU"/>
        </w:rPr>
        <w:t xml:space="preserve">технологическому присоединению (этапа при поэтапном вводе) Стороны составляют Акт об осуществлении технологического присоединения, Акт согласования технологической и (или) аварийной брони (в случаях, предусмотренных законодательством Российской Федерации).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Порядок оформления Акта об осуществлении технологического присоединения устанавливается в соответствии с пунктами 2.1.5 и 2.3.11 настоящего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0"/>
        </w:numPr>
        <w:spacing w:after="0" w:line="240" w:lineRule="auto"/>
        <w:ind w:left="0"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Права и обязанности Сторон</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4"/>
          <w:ilvl w:val="1"/>
        </w:numPr>
        <w:tabs>
          <w:tab w:val="left" w:pos="709" w:leader="none"/>
          <w:tab w:val="left" w:pos="1418" w:leader="none"/>
        </w:tabs>
        <w:spacing w:after="0" w:line="240" w:lineRule="auto"/>
        <w:ind w:left="0" w:firstLine="567"/>
        <w:contextualSpacing/>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Сетевая организация обязуется:</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Надлежащим образом и своевременно исполнить обязательства по </w:t>
      </w:r>
      <w:r>
        <w:rPr>
          <w:rFonts w:ascii="Times New Roman" w:hAnsi="Times New Roman" w:eastAsia="Times New Roman"/>
          <w:sz w:val="24"/>
          <w:szCs w:val="24"/>
          <w:highlight w:val="white"/>
          <w:lang w:eastAsia="ru-RU"/>
        </w:rPr>
        <w:t xml:space="preserve">Договору, в том числе, самостоятельно подготовить проектную документацию </w:t>
      </w:r>
      <w:r>
        <w:rPr>
          <w:rFonts w:ascii="Times New Roman" w:hAnsi="Times New Roman" w:eastAsia="Times New Roman"/>
          <w:sz w:val="24"/>
          <w:szCs w:val="24"/>
          <w:highlight w:val="white"/>
          <w:lang w:eastAsia="ru-RU"/>
        </w:rPr>
        <w:t xml:space="preserve">и осуществить фактическое присоединение энергопринимающих устройств Заявителя при условии надлежащего исполнения Заявителем своих обязательств по Договору.</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если в ходе проектирова</w:t>
      </w:r>
      <w:r>
        <w:rPr>
          <w:rFonts w:ascii="Times New Roman" w:hAnsi="Times New Roman" w:eastAsia="Times New Roman"/>
          <w:sz w:val="24"/>
          <w:szCs w:val="24"/>
          <w:highlight w:val="white"/>
          <w:lang w:eastAsia="ru-RU"/>
        </w:rPr>
        <w:t xml:space="preserve">ния у Заявителя возникнет необходимость частичного отступления от Технических условий, согласовать частичное отступление от Технических условий с последующим внесением изменений в Технические условия, в порядке и в сроки, предусмотренные законодательством.</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течение 20 (двадцати) рабочих дней со дня получения Сетевой организацией уведомления о выполнении Заявителем Технических условий провести проверку выполнения Заявителем технических условий и осмотр присоединяемых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 построенных (реконструированных) в рамках выполнения технических условий,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709"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При этом Се</w:t>
      </w:r>
      <w:r>
        <w:rPr>
          <w:rFonts w:ascii="Times New Roman" w:hAnsi="Times New Roman" w:eastAsia="Times New Roman"/>
          <w:sz w:val="24"/>
          <w:szCs w:val="24"/>
          <w:highlight w:val="white"/>
          <w:lang w:eastAsia="ru-RU"/>
        </w:rPr>
        <w:t xml:space="preserve">тевая организация уведомляет субъекта оперативно-диспетчерского управления, согласовывающего технические условия, о предполагаемой дате проведения осмотра энергопринимающих устройств Заявителя не позднее, чем за 5 (пять) рабочих дней до дня его проведения.</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 позднее 30 (тридцати) рабочих дней со дня получения копии разрешения уполномоченного органа федерального государственного энергетического надзора на допус</w:t>
      </w:r>
      <w:r>
        <w:rPr>
          <w:rFonts w:ascii="Times New Roman" w:hAnsi="Times New Roman" w:eastAsia="Times New Roman"/>
          <w:sz w:val="24"/>
          <w:szCs w:val="24"/>
          <w:highlight w:val="white"/>
          <w:lang w:eastAsia="ru-RU"/>
        </w:rPr>
        <w:t xml:space="preserve">к в эксплуатацию объектов Заявителя (в случае, если присоединяемые объекты электросетевого хозяйства не подлежат допуску в эксплуатацию указанным органом, то со дня подписания в установленном порядке Акта о выполнении технических условий), при условии гото</w:t>
      </w:r>
      <w:r>
        <w:rPr>
          <w:rFonts w:ascii="Times New Roman" w:hAnsi="Times New Roman" w:eastAsia="Times New Roman"/>
          <w:sz w:val="24"/>
          <w:szCs w:val="24"/>
          <w:highlight w:val="white"/>
          <w:lang w:eastAsia="ru-RU"/>
        </w:rPr>
        <w:t xml:space="preserve">вности Сетевой организации к фактическому присоединению энергопринимающих устройств Заявителя, осуществить фактический прием (подачу) напряжения и мощности путем включения коммутационного аппарата (фиксация коммутационного аппарата в положении «включено»).</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 позднее 3 (трёх) рабочих дней с момента фактического присоединения подписать и направить Заявителю оригинал Акта об осуществлении технологического присоединения, подписанный со стороны Сетевой организации, в двух экземплярах.</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709" w:leader="none"/>
          <w:tab w:val="left" w:pos="1418"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 позднее 10 (десяти) рабочих дней со дня получения от Заявителя 2 (двух) подписанных экземпляров проекта Акта согласования технологической и (или) аварийной брони рассмотреть, подписать и направить 1 (один) экземпляр Акта Заявителю.</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709"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несогласия Сетевой организации с предст</w:t>
      </w:r>
      <w:r>
        <w:rPr>
          <w:rFonts w:ascii="Times New Roman" w:hAnsi="Times New Roman" w:eastAsia="Times New Roman"/>
          <w:sz w:val="24"/>
          <w:szCs w:val="24"/>
          <w:highlight w:val="white"/>
          <w:lang w:eastAsia="ru-RU"/>
        </w:rPr>
        <w:t xml:space="preserve">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w:t>
      </w:r>
      <w:r>
        <w:rPr>
          <w:rFonts w:ascii="Times New Roman" w:hAnsi="Times New Roman" w:eastAsia="Times New Roman"/>
          <w:sz w:val="24"/>
          <w:szCs w:val="24"/>
          <w:highlight w:val="white"/>
          <w:lang w:eastAsia="ru-RU"/>
        </w:rPr>
        <w:t xml:space="preserve">)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709"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2.1.7. </w:t>
      </w:r>
      <w:r>
        <w:rPr>
          <w:rFonts w:ascii="Times New Roman" w:hAnsi="Times New Roman" w:eastAsia="Times New Roman"/>
          <w:sz w:val="24"/>
          <w:szCs w:val="24"/>
          <w:highlight w:val="white"/>
          <w:lang w:eastAsia="ru-RU"/>
        </w:rPr>
        <w:t xml:space="preserve">В случае получения от Заявителя уведомления об отказе от исполнения обязательств по настоящему Договору до момента принятия уполномоченным органом исполнительной власти в области государственного ре</w:t>
      </w:r>
      <w:r>
        <w:rPr>
          <w:rFonts w:ascii="Times New Roman" w:hAnsi="Times New Roman" w:eastAsia="Times New Roman"/>
          <w:sz w:val="24"/>
          <w:szCs w:val="24"/>
          <w:highlight w:val="white"/>
          <w:lang w:eastAsia="ru-RU"/>
        </w:rPr>
        <w:t xml:space="preserve">гулирования тарифов решения об установлении платы за технологическое присоединение по индивидуальному проекту, направить в адрес Заявителя письмо с указанием суммы фактически понесенных расходов, связанных с исполнением Договора, в том числе фактически пон</w:t>
      </w:r>
      <w:r>
        <w:rPr>
          <w:rFonts w:ascii="Times New Roman" w:hAnsi="Times New Roman" w:eastAsia="Times New Roman"/>
          <w:sz w:val="24"/>
          <w:szCs w:val="24"/>
          <w:highlight w:val="white"/>
          <w:lang w:eastAsia="ru-RU"/>
        </w:rPr>
        <w:t xml:space="preserve">есенных расходов, связанных с подготовкой Технических условий, разработкой проектной документации и оформлением прав на земельные участки, необходимые для разработки указанной проектной документации, в размере рассчитанном в соответствии с п. 4.7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709"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получения от Заявителя уведомления об отказе от заключения дополнительного соглашения к Договору об изменении платы за технологическое присоединение, либо ненаправления в адрес Сет</w:t>
      </w:r>
      <w:r>
        <w:rPr>
          <w:rFonts w:ascii="Times New Roman" w:hAnsi="Times New Roman" w:eastAsia="Times New Roman"/>
          <w:sz w:val="24"/>
          <w:szCs w:val="24"/>
          <w:highlight w:val="white"/>
          <w:lang w:eastAsia="ru-RU"/>
        </w:rPr>
        <w:t xml:space="preserve">евой организации подписанного Заявителем проекта дополнительного соглашения к Договору об изменении платы за технологическое присоединение в течение 30 рабочих дней со дня получения такого проекта дополнительного соглашения, направить в адрес Заявителя пис</w:t>
      </w:r>
      <w:r>
        <w:rPr>
          <w:rFonts w:ascii="Times New Roman" w:hAnsi="Times New Roman" w:eastAsia="Times New Roman"/>
          <w:sz w:val="24"/>
          <w:szCs w:val="24"/>
          <w:highlight w:val="white"/>
          <w:lang w:eastAsia="ru-RU"/>
        </w:rPr>
        <w:t xml:space="preserve">ьмо с указанием суммы фактически понесенных расходов, связанных с исполнением Договора,  в том числе фактически понесенных расходов, связанных с подготовкой Технических условий, разработкой проектной документации и оформлением прав на земельные участки, не</w:t>
      </w:r>
      <w:r>
        <w:rPr>
          <w:rFonts w:ascii="Times New Roman" w:hAnsi="Times New Roman" w:eastAsia="Times New Roman"/>
          <w:sz w:val="24"/>
          <w:szCs w:val="24"/>
          <w:highlight w:val="white"/>
          <w:lang w:eastAsia="ru-RU"/>
        </w:rPr>
        <w:t xml:space="preserve">обходимые для разработки указанной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w:t>
      </w:r>
      <w:r>
        <w:rPr>
          <w:rFonts w:ascii="Times New Roman" w:hAnsi="Times New Roman" w:eastAsia="Times New Roman"/>
          <w:sz w:val="24"/>
          <w:szCs w:val="24"/>
          <w:highlight w:val="white"/>
          <w:lang w:eastAsia="ru-RU"/>
        </w:rPr>
        <w:t xml:space="preserve">оединение по индивидуальному проекту, с уменьшением (зачетом) таких фактических расходов на размер авансового платежа, предусмотренного пунктом 3.2. Договора (в случае если авансовый платеж был выплачен Заявителем), содержащее требование об их компенсации.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2.1.8. Направить Заявителю в двух экземплярах подписанное со своей стороны дополнительное согла</w:t>
      </w:r>
      <w:r>
        <w:rPr>
          <w:rFonts w:ascii="Times New Roman" w:hAnsi="Times New Roman" w:eastAsia="Times New Roman"/>
          <w:sz w:val="24"/>
          <w:szCs w:val="24"/>
          <w:highlight w:val="white"/>
          <w:lang w:eastAsia="ru-RU"/>
        </w:rPr>
        <w:t xml:space="preserve">шение с новым расчетом платы за технологическое присоединение и новым порядком ее внесения Заявителем в случае изменений законодательства РФ, связанного с введением/исключением или повышением/понижением размера налогов и сборов, иных обязательных платежей.</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1418" w:leader="none"/>
        </w:tabs>
        <w:spacing w:after="0" w:line="240" w:lineRule="auto"/>
        <w:ind w:firstLine="567"/>
        <w:contextualSpacing/>
        <w:jc w:val="both"/>
        <w:rPr>
          <w:rFonts w:ascii="Times New Roman" w:hAnsi="Times New Roman" w:eastAsia="Times New Roman"/>
          <w:sz w:val="24"/>
          <w:szCs w:val="24"/>
        </w:rPr>
      </w:pPr>
      <w:r>
        <w:rPr>
          <w:rFonts w:ascii="Times New Roman" w:hAnsi="Times New Roman" w:eastAsia="Times New Roman"/>
          <w:sz w:val="24"/>
          <w:szCs w:val="24"/>
          <w:highlight w:val="white"/>
          <w:lang w:eastAsia="ru-RU"/>
        </w:rPr>
        <w:t xml:space="preserve">2.1.9. </w:t>
      </w:r>
      <w:r>
        <w:rPr>
          <w:rFonts w:ascii="Times New Roman" w:hAnsi="Times New Roman" w:eastAsia="Times New Roman"/>
          <w:sz w:val="24"/>
          <w:szCs w:val="24"/>
          <w:highlight w:val="white"/>
          <w:lang w:eastAsia="ru-RU"/>
        </w:rPr>
        <w:t xml:space="preserve">По итогам разработки проектной документации, включая обеспечение проведения ее экспертизы в соответствии с требованиями законодательства Российской Феде</w:t>
      </w:r>
      <w:r>
        <w:rPr>
          <w:rFonts w:ascii="Times New Roman" w:hAnsi="Times New Roman" w:eastAsia="Times New Roman"/>
          <w:sz w:val="24"/>
          <w:szCs w:val="24"/>
          <w:highlight w:val="white"/>
          <w:lang w:eastAsia="ru-RU"/>
        </w:rPr>
        <w:t xml:space="preserve">рации о градостроительной деятельности, в целях осуществления мероприятий, которые в соответствии с техническими условиями должны быть реализованы Сетевой организацией, направить Заявителю в двух экземплярах подписанное со своей стороны дополнительное согл</w:t>
      </w:r>
      <w:r>
        <w:rPr>
          <w:rFonts w:ascii="Times New Roman" w:hAnsi="Times New Roman" w:eastAsia="Times New Roman"/>
          <w:sz w:val="24"/>
          <w:szCs w:val="24"/>
          <w:highlight w:val="white"/>
          <w:lang w:eastAsia="ru-RU"/>
        </w:rPr>
        <w:t xml:space="preserve">ашение с окончательным размером платы за технологическое присоединение после её утверждения уполномоченным органом исполнительной власти в области государственного регулирования тарифов не позднее 3 рабочих дней с даты вступления в силу указанного решения.</w:t>
      </w:r>
      <w:r>
        <w:rPr>
          <w:rFonts w:ascii="Times New Roman" w:hAnsi="Times New Roman" w:eastAsia="Times New Roman"/>
          <w:sz w:val="24"/>
          <w:szCs w:val="24"/>
        </w:rPr>
      </w:r>
      <w:r>
        <w:rPr>
          <w:rFonts w:ascii="Times New Roman" w:hAnsi="Times New Roman" w:eastAsia="Times New Roman"/>
          <w:sz w:val="24"/>
          <w:szCs w:val="24"/>
        </w:rPr>
      </w:r>
    </w:p>
    <w:p>
      <w:pPr>
        <w:pStyle w:val="673"/>
        <w:widowControl w:val="off"/>
        <w:tabs>
          <w:tab w:val="left" w:pos="1418"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lang w:eastAsia="ru-RU"/>
        </w:rPr>
        <w:t xml:space="preserve">В случае получения от Заявителя после принятия уполномоченным органом исполнительной власти в области государственного регулирования тарифов решения об установлении платы за технологическое присоединение по индивидуальному проекту,</w:t>
      </w:r>
      <w:r>
        <w:rPr>
          <w:rFonts w:ascii="Times New Roman" w:hAnsi="Times New Roman" w:eastAsia="Times New Roman"/>
          <w:sz w:val="24"/>
          <w:szCs w:val="24"/>
          <w:lang w:eastAsia="ru-RU"/>
        </w:rPr>
        <w:t xml:space="preserve"> </w:t>
      </w:r>
      <w:r>
        <w:rPr>
          <w:rFonts w:ascii="Times New Roman" w:hAnsi="Times New Roman" w:eastAsia="Times New Roman"/>
          <w:sz w:val="24"/>
          <w:szCs w:val="24"/>
          <w:lang w:eastAsia="ru-RU"/>
        </w:rPr>
        <w:t xml:space="preserve">уведомления </w:t>
      </w:r>
      <w:r>
        <w:rPr>
          <w:rFonts w:ascii="Times New Roman" w:hAnsi="Times New Roman" w:eastAsia="Times New Roman"/>
          <w:sz w:val="24"/>
          <w:szCs w:val="24"/>
          <w:highlight w:val="white"/>
          <w:lang w:eastAsia="ru-RU"/>
        </w:rPr>
        <w:t xml:space="preserve">об отказе от заключения дополнительного соглашения к Договору об изменении платы за технологическое присоединение, либо ненаправления в адрес Сет</w:t>
      </w:r>
      <w:r>
        <w:rPr>
          <w:rFonts w:ascii="Times New Roman" w:hAnsi="Times New Roman" w:eastAsia="Times New Roman"/>
          <w:sz w:val="24"/>
          <w:szCs w:val="24"/>
          <w:highlight w:val="white"/>
          <w:lang w:eastAsia="ru-RU"/>
        </w:rPr>
        <w:t xml:space="preserve">евой организации подписанного Заявителем проекта дополнительного соглашения к Договору об изменении платы за технологическое присоединение в течение 30 рабочих дней со дня получения такого проекта дополнительного соглашения, направить в адрес Заявителя пис</w:t>
      </w:r>
      <w:r>
        <w:rPr>
          <w:rFonts w:ascii="Times New Roman" w:hAnsi="Times New Roman" w:eastAsia="Times New Roman"/>
          <w:sz w:val="24"/>
          <w:szCs w:val="24"/>
          <w:highlight w:val="white"/>
          <w:lang w:eastAsia="ru-RU"/>
        </w:rPr>
        <w:t xml:space="preserve">ьмо с указанием суммы фактически понесенных расходов, связанных с исполнением Договора,  в том числе фактически понесенных расходов, связанных с подготовкой Технических условий, разработкой проектной документации и оформлением прав на земельные участки, не</w:t>
      </w:r>
      <w:r>
        <w:rPr>
          <w:rFonts w:ascii="Times New Roman" w:hAnsi="Times New Roman" w:eastAsia="Times New Roman"/>
          <w:sz w:val="24"/>
          <w:szCs w:val="24"/>
          <w:highlight w:val="white"/>
          <w:lang w:eastAsia="ru-RU"/>
        </w:rPr>
        <w:t xml:space="preserve">обходимые для разработки указанной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w:t>
      </w:r>
      <w:r>
        <w:rPr>
          <w:rFonts w:ascii="Times New Roman" w:hAnsi="Times New Roman" w:eastAsia="Times New Roman"/>
          <w:sz w:val="24"/>
          <w:szCs w:val="24"/>
          <w:highlight w:val="white"/>
          <w:lang w:eastAsia="ru-RU"/>
        </w:rPr>
        <w:t xml:space="preserve">оединение по индивидуальному проекту, с уменьшением (зачетом) таких фактических расходов на размер авансового платежа, предусмотренного пунктом 3.2. Договора (в случае если авансовый платеж был выплачен Заявителем), содержащее требование об их компенсации.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1418"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2.1.10. Выполнени</w:t>
      </w:r>
      <w:r>
        <w:rPr>
          <w:rFonts w:ascii="Times New Roman" w:hAnsi="Times New Roman" w:eastAsia="Times New Roman"/>
          <w:sz w:val="24"/>
          <w:szCs w:val="24"/>
          <w:highlight w:val="white"/>
          <w:lang w:eastAsia="ru-RU"/>
        </w:rPr>
        <w:t xml:space="preserve">е Заявителем мероприятий по технологическому присоединению, указанных в Технических условиях, до наступления срока, установленного пунктом 1.3 Договора, не порождает у Сетевой организации обязанности осуществления досрочного технологического присоединения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1"/>
        </w:numPr>
        <w:tabs>
          <w:tab w:val="left" w:pos="851" w:leader="none"/>
        </w:tabs>
        <w:spacing w:after="0" w:line="240" w:lineRule="auto"/>
        <w:ind w:left="0" w:firstLine="567"/>
        <w:contextualSpacing/>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Сетевая организация имеет право:</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Проверять ход выполнения Заявителем Технических условий.</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Запрашивать у Заявителя сведения, необходимые для выполнения своих обязательств по Договору.</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Привлекать третьих лиц для выпо</w:t>
      </w:r>
      <w:r>
        <w:rPr>
          <w:rFonts w:ascii="Times New Roman" w:hAnsi="Times New Roman" w:eastAsia="Times New Roman"/>
          <w:sz w:val="24"/>
          <w:szCs w:val="24"/>
          <w:highlight w:val="white"/>
          <w:lang w:eastAsia="ru-RU"/>
        </w:rPr>
        <w:t xml:space="preserve">лнения своих обязательств по Договору, оставаясь ответственным перед Заявителем за их надлежащее выполнение, в том числе осуществлять выбор поставщиков оборудования и услуг (работ), привлекаемых для реализации мероприятий по технологическому присоединению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 к объектам электросетевого хозяйства Сетевой организации.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нарушения Заявителем обязанностей, предусмотренных пунктом 3.2 Договора, в том числе в случае нарушения срока оплат</w:t>
      </w:r>
      <w:r>
        <w:rPr>
          <w:rFonts w:ascii="Times New Roman" w:hAnsi="Times New Roman" w:eastAsia="Times New Roman"/>
          <w:sz w:val="24"/>
          <w:szCs w:val="24"/>
          <w:highlight w:val="white"/>
          <w:lang w:eastAsia="ru-RU"/>
        </w:rPr>
        <w:t xml:space="preserve">ы любого из платежей, указанных в пункте 3.2 Договора, в качестве способа защиты своего нарушенного права обратиться в суд с иском о взыскании с Заявителя подлежащей оплате суммы задолженности и (или) неустойки за нарушение срока оплаты любого из платежей.</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При невыполнении Заявителем Т</w:t>
      </w:r>
      <w:r>
        <w:rPr>
          <w:rFonts w:ascii="Times New Roman" w:hAnsi="Times New Roman" w:eastAsia="Times New Roman"/>
          <w:sz w:val="24"/>
          <w:szCs w:val="24"/>
          <w:highlight w:val="white"/>
          <w:lang w:eastAsia="ru-RU"/>
        </w:rPr>
        <w:t xml:space="preserve">ехнических условий в согласованный срок и наличии на дату окончания срока их действия технической возможности технологического присоединения продлить их действие (выдать новые Технические условия) в порядке и на основаниях, установленных законодательством.</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 осуществлять фактическое присоединение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 к объектам электросетевого хозяйства Сетевой организации в случае наступления одного из следующих обстоятельств:</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1"/>
          <w:ilvl w:val="0"/>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несоответствие проектной документации, разработанной Заявителем, Техническим условиям и (или) требованиям нормативно-технической документации;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1"/>
          <w:ilvl w:val="0"/>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несоответствие выполненных Заявителем работ проектной документации и (или) Тех</w:t>
      </w:r>
      <w:r>
        <w:rPr>
          <w:rFonts w:ascii="Times New Roman" w:hAnsi="Times New Roman" w:eastAsia="Times New Roman"/>
          <w:sz w:val="24"/>
          <w:szCs w:val="24"/>
          <w:highlight w:val="white"/>
          <w:lang w:eastAsia="ru-RU"/>
        </w:rPr>
        <w:t xml:space="preserve">ническим условиям. Фактическое присоединение осуществляется только после устранения Заявителем выявленных недостатков (о факте устранения нарушений Заявитель письменно уведомляет Сетевую организацию) в пределах срока, предусмотренного пунктом 1.3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1"/>
          <w:ilvl w:val="0"/>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несоответствие присоединяемого объекта условиям Договора и/или его отсутствие;</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1"/>
          <w:ilvl w:val="0"/>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утрата Заявителем прав в отношении присоединяемого объекта.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1"/>
        </w:numPr>
        <w:tabs>
          <w:tab w:val="left" w:pos="851" w:leader="none"/>
        </w:tabs>
        <w:spacing w:after="0" w:line="240" w:lineRule="auto"/>
        <w:ind w:left="0" w:firstLine="567"/>
        <w:contextualSpacing/>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Заявитель обязуется:</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sz w:val="24"/>
          <w:szCs w:val="24"/>
          <w:highlight w:val="white"/>
        </w:rPr>
      </w:pPr>
      <w:r>
        <w:rPr>
          <w:rFonts w:ascii="Times New Roman" w:hAnsi="Times New Roman" w:eastAsia="Times New Roman"/>
          <w:sz w:val="24"/>
          <w:szCs w:val="24"/>
          <w:highlight w:val="white"/>
          <w:lang w:eastAsia="ru-RU"/>
        </w:rPr>
        <w:t xml:space="preserve">Надлежащим</w:t>
      </w:r>
      <w:r>
        <w:rPr>
          <w:rFonts w:ascii="Times New Roman" w:hAnsi="Times New Roman"/>
          <w:sz w:val="24"/>
          <w:szCs w:val="24"/>
          <w:highlight w:val="white"/>
          <w:lang w:eastAsia="ru-RU"/>
        </w:rPr>
        <w:t xml:space="preserve"> образом и своевременно исполнять указанные в разделе 3 Договора обязательства по оплате технологического присоединения и свою часть мероприятий по осуществлению технологического присоединения в соответствии с Техническими условиями.</w:t>
      </w:r>
      <w:r>
        <w:rPr>
          <w:rFonts w:ascii="Times New Roman" w:hAnsi="Times New Roman"/>
          <w:sz w:val="24"/>
          <w:szCs w:val="24"/>
          <w:highlight w:val="white"/>
        </w:rPr>
      </w:r>
      <w:r>
        <w:rPr>
          <w:rFonts w:ascii="Times New Roman" w:hAnsi="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В </w:t>
      </w:r>
      <w:r>
        <w:rPr>
          <w:rFonts w:ascii="Times New Roman" w:hAnsi="Times New Roman" w:eastAsia="Times New Roman"/>
          <w:sz w:val="24"/>
          <w:szCs w:val="24"/>
          <w:highlight w:val="white"/>
          <w:lang w:eastAsia="ru-RU"/>
        </w:rPr>
        <w:t xml:space="preserve">течение</w:t>
      </w:r>
      <w:r>
        <w:rPr>
          <w:rFonts w:ascii="Times New Roman" w:hAnsi="Times New Roman"/>
          <w:sz w:val="24"/>
          <w:szCs w:val="24"/>
          <w:highlight w:val="white"/>
          <w:lang w:eastAsia="ru-RU"/>
        </w:rPr>
        <w:t xml:space="preserve"> 10 (десяти) рабочих дней со дня получения письменного запроса Сетевой организации предоставить сведения, необходимые для выполнения Сетевой организацией обязательств по Договору.</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Своеврем</w:t>
      </w:r>
      <w:r>
        <w:rPr>
          <w:rFonts w:ascii="Times New Roman" w:hAnsi="Times New Roman" w:eastAsia="Times New Roman"/>
          <w:sz w:val="24"/>
          <w:szCs w:val="24"/>
          <w:highlight w:val="white"/>
          <w:lang w:eastAsia="ru-RU"/>
        </w:rPr>
        <w:t xml:space="preserve">енно осуществить разработку проектной документации в рамках исполнения своих обязательств по Техническим условиям (в том числе по этапам) и направить указанную документацию в Сетевую организацию для проверки ее соответствия требованиям Технических условий.</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Не </w:t>
      </w:r>
      <w:r>
        <w:rPr>
          <w:rFonts w:ascii="Times New Roman" w:hAnsi="Times New Roman" w:eastAsia="Times New Roman"/>
          <w:sz w:val="24"/>
          <w:szCs w:val="24"/>
          <w:highlight w:val="white"/>
          <w:lang w:eastAsia="ru-RU"/>
        </w:rPr>
        <w:t xml:space="preserve">позднее</w:t>
      </w:r>
      <w:r>
        <w:rPr>
          <w:rFonts w:ascii="Times New Roman" w:hAnsi="Times New Roman"/>
          <w:sz w:val="24"/>
          <w:szCs w:val="24"/>
          <w:highlight w:val="white"/>
          <w:lang w:eastAsia="ru-RU"/>
        </w:rPr>
        <w:t xml:space="preserve"> чем за 10 (десять) дней до истечения срока, указанного в пунк</w:t>
      </w:r>
      <w:r>
        <w:rPr>
          <w:rFonts w:ascii="Times New Roman" w:hAnsi="Times New Roman"/>
          <w:sz w:val="24"/>
          <w:szCs w:val="24"/>
          <w:highlight w:val="white"/>
          <w:lang w:eastAsia="ru-RU"/>
        </w:rPr>
        <w:t xml:space="preserve">те 1.3 Договора (если технические условия подлежали согласованию с субъектом оперативно-диспетчерского управления – не позднее чем за 20 (двадцать) рабочих дней до истечения указанного срока), направить в адрес Сетевой организации уведомление о выполнении </w:t>
      </w:r>
      <w:r>
        <w:rPr>
          <w:rFonts w:ascii="Times New Roman" w:hAnsi="Times New Roman" w:eastAsia="Times New Roman"/>
          <w:sz w:val="24"/>
          <w:szCs w:val="24"/>
          <w:highlight w:val="white"/>
          <w:lang w:eastAsia="ru-RU"/>
        </w:rPr>
        <w:t xml:space="preserve">Технических условий</w:t>
      </w:r>
      <w:r>
        <w:rPr>
          <w:rFonts w:ascii="Times New Roman" w:hAnsi="Times New Roman"/>
          <w:sz w:val="24"/>
          <w:szCs w:val="24"/>
          <w:highlight w:val="white"/>
          <w:lang w:eastAsia="ru-RU"/>
        </w:rPr>
        <w:t xml:space="preserve"> со стороны Заявителя с приложением документов, предусмотренных законодательством в сфере технологического присоединения.</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Обеспечить </w:t>
      </w:r>
      <w:r>
        <w:rPr>
          <w:rFonts w:ascii="Times New Roman" w:hAnsi="Times New Roman" w:eastAsia="Times New Roman"/>
          <w:sz w:val="24"/>
          <w:szCs w:val="24"/>
          <w:highlight w:val="white"/>
          <w:lang w:eastAsia="ru-RU"/>
        </w:rPr>
        <w:t xml:space="preserve">возможность</w:t>
      </w:r>
      <w:r>
        <w:rPr>
          <w:rFonts w:ascii="Times New Roman" w:hAnsi="Times New Roman"/>
          <w:sz w:val="24"/>
          <w:szCs w:val="24"/>
          <w:highlight w:val="white"/>
          <w:lang w:eastAsia="ru-RU"/>
        </w:rPr>
        <w:t xml:space="preserve"> Сетевой организации проводить проверку выполнения Заявителем</w:t>
      </w:r>
      <w:r>
        <w:rPr>
          <w:rFonts w:ascii="Times New Roman" w:hAnsi="Times New Roman" w:eastAsia="Times New Roman"/>
          <w:sz w:val="24"/>
          <w:szCs w:val="24"/>
          <w:highlight w:val="white"/>
          <w:lang w:eastAsia="ru-RU"/>
        </w:rPr>
        <w:t xml:space="preserve"> Технических условий</w:t>
      </w:r>
      <w:r>
        <w:rPr>
          <w:rFonts w:ascii="Times New Roman" w:hAnsi="Times New Roman"/>
          <w:sz w:val="24"/>
          <w:szCs w:val="24"/>
          <w:highlight w:val="white"/>
          <w:lang w:eastAsia="ru-RU"/>
        </w:rPr>
        <w:t xml:space="preserve">.</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течение 5 (пяти) дней со дня получения подписать представленный Сетевой организацией Акт о выполнении технических условий либ</w:t>
      </w:r>
      <w:r>
        <w:rPr>
          <w:rFonts w:ascii="Times New Roman" w:hAnsi="Times New Roman" w:eastAsia="Times New Roman"/>
          <w:sz w:val="24"/>
          <w:szCs w:val="24"/>
          <w:highlight w:val="white"/>
          <w:lang w:eastAsia="ru-RU"/>
        </w:rPr>
        <w:t xml:space="preserve">о представить мотивированный отказ от подписания, и направить в Сетевую организацию (если технические условия были согласованы с субъектом оперативно-диспетчерского управления, Заявитель направляет в Сетевую организацию два подписанных им экземпляра акта).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Организовать и принять участие в осмотре (обследовании) присоединяемых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vertAlign w:val="superscript"/>
          <w:lang w:eastAsia="ru-RU"/>
        </w:rPr>
        <w:t xml:space="preserve"> </w:t>
      </w:r>
      <w:r>
        <w:rPr>
          <w:rFonts w:ascii="Times New Roman" w:hAnsi="Times New Roman"/>
          <w:sz w:val="24"/>
          <w:szCs w:val="24"/>
          <w:highlight w:val="white"/>
          <w:lang w:eastAsia="ru-RU"/>
        </w:rPr>
        <w:t xml:space="preserve">должностным лицом уполномоченного органа федерального государственного энергетического надзора, кроме случаев технологического присоединения </w:t>
      </w:r>
      <w:r>
        <w:rPr>
          <w:rFonts w:ascii="Times New Roman" w:hAnsi="Times New Roman"/>
          <w:sz w:val="24"/>
          <w:szCs w:val="24"/>
          <w:highlight w:val="white"/>
        </w:rPr>
        <w:t xml:space="preserve">энергопринимающих установок</w:t>
      </w:r>
      <w:r>
        <w:rPr>
          <w:rFonts w:ascii="Times New Roman" w:hAnsi="Times New Roman"/>
          <w:sz w:val="24"/>
          <w:szCs w:val="24"/>
          <w:highlight w:val="white"/>
          <w:lang w:eastAsia="ru-RU"/>
        </w:rPr>
        <w:t xml:space="preserve">, в отношении которых вместо прохождения указанной процедуры действующим законодательством предусмотрен уведомительный порядок ввода </w:t>
      </w:r>
      <w:r>
        <w:rPr>
          <w:rFonts w:ascii="Times New Roman" w:hAnsi="Times New Roman"/>
          <w:sz w:val="24"/>
          <w:szCs w:val="24"/>
          <w:highlight w:val="white"/>
        </w:rPr>
        <w:t xml:space="preserve">энергопринимающих установок</w:t>
      </w:r>
      <w:r>
        <w:rPr>
          <w:rFonts w:ascii="Times New Roman" w:hAnsi="Times New Roman"/>
          <w:sz w:val="24"/>
          <w:szCs w:val="24"/>
          <w:highlight w:val="white"/>
          <w:lang w:eastAsia="ru-RU"/>
        </w:rPr>
        <w:t xml:space="preserve"> в эксплуатацию.</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851"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Под уведомительным порядком в настоящем пункте понимается установленная действующим законодательством о</w:t>
      </w:r>
      <w:r>
        <w:rPr>
          <w:rFonts w:ascii="Times New Roman" w:hAnsi="Times New Roman"/>
          <w:sz w:val="24"/>
          <w:szCs w:val="24"/>
          <w:highlight w:val="white"/>
          <w:lang w:eastAsia="ru-RU"/>
        </w:rPr>
        <w:t xml:space="preserve">бязанность Заявителя после оформления Сторонами Акта о выполнении технических условий направить в адрес органа федерального государственного энергетического надзора уведомление о готовности на ввод в эксплуатацию объектов с комплектом требуемых документов.</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Получить разрешение органа федерального государственного энергетического надзора на допуск в эксплуатацию присоединяемых </w:t>
      </w:r>
      <w:r>
        <w:rPr>
          <w:rFonts w:ascii="Times New Roman" w:hAnsi="Times New Roman"/>
          <w:sz w:val="24"/>
          <w:szCs w:val="24"/>
          <w:highlight w:val="white"/>
        </w:rPr>
        <w:t xml:space="preserve">энергопринимающих установок</w:t>
      </w:r>
      <w:r>
        <w:rPr>
          <w:rFonts w:ascii="Times New Roman" w:hAnsi="Times New Roman" w:eastAsia="Times New Roman"/>
          <w:sz w:val="24"/>
          <w:szCs w:val="24"/>
          <w:highlight w:val="white"/>
          <w:vertAlign w:val="superscript"/>
          <w:lang w:eastAsia="ru-RU"/>
        </w:rPr>
        <w:t xml:space="preserve"> </w:t>
      </w:r>
      <w:r>
        <w:rPr>
          <w:rFonts w:ascii="Times New Roman" w:hAnsi="Times New Roman"/>
          <w:sz w:val="24"/>
          <w:szCs w:val="24"/>
          <w:highlight w:val="white"/>
          <w:lang w:eastAsia="ru-RU"/>
        </w:rPr>
        <w:t xml:space="preserve">Заявителя (кроме случаев, предусмотренных пунктом 2.3.8 настоящего Договора). В течение 3 (трёх) рабочих дней с момента получения утвержденного органом федерального государственного энергетического надзора Акта допуска в эксплуатацию </w:t>
      </w:r>
      <w:r>
        <w:rPr>
          <w:rFonts w:ascii="Times New Roman" w:hAnsi="Times New Roman"/>
          <w:sz w:val="24"/>
          <w:szCs w:val="24"/>
          <w:highlight w:val="white"/>
        </w:rPr>
        <w:t xml:space="preserve">энергопринимающих установок</w:t>
      </w:r>
      <w:r>
        <w:rPr>
          <w:rFonts w:ascii="Times New Roman" w:hAnsi="Times New Roman" w:eastAsia="Times New Roman"/>
          <w:sz w:val="24"/>
          <w:szCs w:val="24"/>
          <w:highlight w:val="white"/>
          <w:lang w:eastAsia="ru-RU"/>
        </w:rPr>
        <w:t xml:space="preserve"> </w:t>
      </w:r>
      <w:r>
        <w:rPr>
          <w:rFonts w:ascii="Times New Roman" w:hAnsi="Times New Roman"/>
          <w:sz w:val="24"/>
          <w:szCs w:val="24"/>
          <w:highlight w:val="white"/>
          <w:lang w:eastAsia="ru-RU"/>
        </w:rPr>
        <w:t xml:space="preserve">Заявителя направить его копию в Сетевую организацию.</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отказа Заявителя от исполнения обязательств по настоящему Договору до момента принятия уполномоченным органом исполнительной власти в области </w:t>
      </w:r>
      <w:r>
        <w:rPr>
          <w:rFonts w:ascii="Times New Roman" w:hAnsi="Times New Roman" w:eastAsia="Times New Roman"/>
          <w:sz w:val="24"/>
          <w:szCs w:val="24"/>
          <w:highlight w:val="white"/>
          <w:lang w:eastAsia="ru-RU"/>
        </w:rPr>
        <w:t xml:space="preserve">государственного регулирования тарифов решения об установлении платы за технологическое присоединение по индивидуальному проекту, компенсировать Сетевой организации фактически понесенные расходы, связанные с исполнением Договора, в том числе фактически по</w:t>
      </w:r>
      <w:r>
        <w:rPr>
          <w:rFonts w:ascii="Times New Roman" w:hAnsi="Times New Roman" w:eastAsia="Times New Roman"/>
          <w:sz w:val="24"/>
          <w:szCs w:val="24"/>
          <w:highlight w:val="white"/>
          <w:lang w:eastAsia="ru-RU"/>
        </w:rPr>
        <w:t xml:space="preserve">несенные расходы, связанные с подготовкой Технических условий, разработкой проектной документации и оформлением прав на земельные участки, необходимые для разработки указанной проектной документации, в размере рассчитанном в соответствии с п. 4.7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851" w:leader="none"/>
        </w:tabs>
        <w:spacing w:after="0" w:line="240" w:lineRule="auto"/>
        <w:ind w:firstLine="567"/>
        <w:contextualSpacing/>
        <w:jc w:val="both"/>
        <w:rPr>
          <w:rFonts w:ascii="Times New Roman" w:hAnsi="Times New Roman"/>
          <w:sz w:val="24"/>
          <w:szCs w:val="24"/>
          <w:highlight w:val="white"/>
        </w:rPr>
      </w:pPr>
      <w:r>
        <w:rPr>
          <w:rFonts w:ascii="Times New Roman" w:hAnsi="Times New Roman" w:eastAsia="Times New Roman"/>
          <w:sz w:val="24"/>
          <w:szCs w:val="24"/>
          <w:highlight w:val="white"/>
          <w:lang w:eastAsia="ru-RU"/>
        </w:rPr>
        <w:t xml:space="preserve">В случае отказа Заявителя </w:t>
      </w:r>
      <w:r>
        <w:rPr>
          <w:rFonts w:ascii="Times New Roman" w:hAnsi="Times New Roman" w:eastAsia="Times New Roman"/>
          <w:sz w:val="24"/>
          <w:szCs w:val="24"/>
          <w:lang w:eastAsia="ru-RU"/>
        </w:rPr>
        <w:t xml:space="preserve">после принятия уполномоченным органом исполнительной власти в области государственного регулирования тарифов решения об установлении платы за технологическое присоединение по индивидуальному проекту </w:t>
      </w:r>
      <w:r>
        <w:rPr>
          <w:rFonts w:ascii="Times New Roman" w:hAnsi="Times New Roman" w:eastAsia="Times New Roman"/>
          <w:sz w:val="24"/>
          <w:szCs w:val="24"/>
          <w:highlight w:val="white"/>
          <w:lang w:eastAsia="ru-RU"/>
        </w:rPr>
        <w:t xml:space="preserve">от заключения дополнительного соглашения к Договору об изменении платы за технологическое присоединение, либо ненаправления в адрес Сетевой организации подписанного З</w:t>
      </w:r>
      <w:r>
        <w:rPr>
          <w:rFonts w:ascii="Times New Roman" w:hAnsi="Times New Roman" w:eastAsia="Times New Roman"/>
          <w:sz w:val="24"/>
          <w:szCs w:val="24"/>
          <w:highlight w:val="white"/>
          <w:lang w:eastAsia="ru-RU"/>
        </w:rPr>
        <w:t xml:space="preserve">аявителем проекта дополнительного соглашения к Договору об изменении платы за технологическое присоединение в течение 30 рабочих дней со дня получения такого проекта дополнительного соглашения к Договору об изменении платы за технологическое присоединение,</w:t>
      </w:r>
      <w:r>
        <w:rPr>
          <w:rFonts w:ascii="Times New Roman" w:hAnsi="Times New Roman"/>
          <w:sz w:val="24"/>
          <w:szCs w:val="24"/>
          <w:highlight w:val="white"/>
          <w:lang w:eastAsia="ru-RU"/>
        </w:rPr>
        <w:t xml:space="preserve"> компенсировать Сетевой организации фактически понесенные расходы на технологическое присоединение,</w:t>
      </w:r>
      <w:r>
        <w:rPr>
          <w:rFonts w:ascii="Times New Roman" w:hAnsi="Times New Roman" w:eastAsia="Times New Roman"/>
          <w:sz w:val="24"/>
          <w:szCs w:val="24"/>
          <w:highlight w:val="white"/>
          <w:lang w:eastAsia="ru-RU"/>
        </w:rPr>
        <w:t xml:space="preserve"> в том числе фактически понесенные расходы, связанные с подготовкой Технических условий, разработкой проектной документации и</w:t>
      </w:r>
      <w:r>
        <w:rPr>
          <w:rFonts w:ascii="Times New Roman" w:hAnsi="Times New Roman" w:eastAsia="Times New Roman"/>
          <w:sz w:val="24"/>
          <w:szCs w:val="24"/>
          <w:highlight w:val="white"/>
          <w:lang w:eastAsia="ru-RU"/>
        </w:rPr>
        <w:t xml:space="preserve"> оформлением прав на земельные участки, необходимые для разработки указанной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w:t>
      </w:r>
      <w:r>
        <w:rPr>
          <w:rFonts w:ascii="Times New Roman" w:hAnsi="Times New Roman" w:eastAsia="Times New Roman"/>
          <w:sz w:val="24"/>
          <w:szCs w:val="24"/>
          <w:highlight w:val="white"/>
          <w:lang w:eastAsia="ru-RU"/>
        </w:rPr>
        <w:t xml:space="preserve">установлении платы за технологическое присоединение по индивидуальному проекту, с уменьшением (зачетом) таких фактических расходов на размер авансового платежа, предусмотренного пунктом 3.2. Договора (в случае если авансовый платеж был выплачен Заявителем)</w:t>
      </w:r>
      <w:r>
        <w:rPr>
          <w:rFonts w:ascii="Times New Roman" w:hAnsi="Times New Roman"/>
          <w:sz w:val="24"/>
          <w:szCs w:val="24"/>
          <w:highlight w:val="white"/>
          <w:lang w:eastAsia="ru-RU"/>
        </w:rPr>
        <w:t xml:space="preserve">.</w:t>
      </w:r>
      <w:r>
        <w:rPr>
          <w:rFonts w:ascii="Times New Roman" w:hAnsi="Times New Roman"/>
          <w:sz w:val="24"/>
          <w:szCs w:val="24"/>
          <w:highlight w:val="white"/>
        </w:rPr>
      </w:r>
      <w:r>
        <w:rPr>
          <w:rFonts w:ascii="Times New Roman" w:hAnsi="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В </w:t>
      </w:r>
      <w:r>
        <w:rPr>
          <w:rFonts w:ascii="Times New Roman" w:hAnsi="Times New Roman"/>
          <w:sz w:val="24"/>
          <w:szCs w:val="24"/>
          <w:highlight w:val="white"/>
          <w:lang w:eastAsia="ru-RU"/>
        </w:rPr>
        <w:t xml:space="preserve">течение 3 (трёх) рабочих дней со дня получения, подписать представленный Сетевой организацией Акт об осуществлении технологического присоединения, либо представить мотивированный отказ от его подписания в тот же срок, и направить его в Сетевую организацию.</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851" w:leader="none"/>
        </w:tabs>
        <w:spacing w:after="0" w:line="240" w:lineRule="auto"/>
        <w:ind w:firstLine="567"/>
        <w:contextualSpacing/>
        <w:jc w:val="both"/>
        <w:rPr>
          <w:rFonts w:ascii="Times New Roman" w:hAnsi="Times New Roman"/>
          <w:sz w:val="24"/>
          <w:szCs w:val="24"/>
          <w:highlight w:val="white"/>
        </w:rPr>
      </w:pPr>
      <w:r>
        <w:rPr>
          <w:rFonts w:ascii="Times New Roman" w:hAnsi="Times New Roman"/>
          <w:sz w:val="24"/>
          <w:szCs w:val="24"/>
          <w:highlight w:val="white"/>
          <w:lang w:eastAsia="ru-RU"/>
        </w:rPr>
        <w:t xml:space="preserve">В случае не поступления подписанного Акта об осуществлении технологического присоединения (не представления мотивированно</w:t>
      </w:r>
      <w:r>
        <w:rPr>
          <w:rFonts w:ascii="Times New Roman" w:hAnsi="Times New Roman"/>
          <w:sz w:val="24"/>
          <w:szCs w:val="24"/>
          <w:highlight w:val="white"/>
          <w:lang w:eastAsia="ru-RU"/>
        </w:rPr>
        <w:t xml:space="preserve">го отказа от его подписания), по истечении 30 (тридцати) дней с даты направления Заявителю Акта об осуществлении технологического присоединения, такой Акт считается подписанным, а услуга оказанной Сетевой организацией и принятой Заявителем в полном объеме.</w:t>
      </w:r>
      <w:r>
        <w:rPr>
          <w:rFonts w:ascii="Times New Roman" w:hAnsi="Times New Roman"/>
          <w:sz w:val="24"/>
          <w:szCs w:val="24"/>
          <w:highlight w:val="white"/>
        </w:rPr>
      </w:r>
      <w:r>
        <w:rPr>
          <w:rFonts w:ascii="Times New Roman" w:hAnsi="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Обеспечить соответствие технических характеристик присоединяемых </w:t>
      </w:r>
      <w:r>
        <w:rPr>
          <w:rFonts w:ascii="Times New Roman" w:hAnsi="Times New Roman"/>
          <w:sz w:val="24"/>
          <w:szCs w:val="24"/>
          <w:highlight w:val="white"/>
        </w:rPr>
        <w:t xml:space="preserve">энергопринимающих установок</w:t>
      </w:r>
      <w:r>
        <w:rPr>
          <w:rFonts w:ascii="Times New Roman" w:hAnsi="Times New Roman" w:eastAsia="Times New Roman"/>
          <w:sz w:val="24"/>
          <w:szCs w:val="24"/>
          <w:highlight w:val="white"/>
          <w:lang w:eastAsia="ru-RU"/>
        </w:rPr>
        <w:t xml:space="preserve"> </w:t>
      </w:r>
      <w:r>
        <w:rPr>
          <w:rFonts w:ascii="Times New Roman" w:hAnsi="Times New Roman"/>
          <w:sz w:val="24"/>
          <w:szCs w:val="24"/>
          <w:highlight w:val="white"/>
          <w:lang w:eastAsia="ru-RU"/>
        </w:rPr>
        <w:t xml:space="preserve">требованиям правил, регламентов, стандартов и иных нормативно-технических документов.</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Выполнять обязательные требования, установленные законодательством Российской Федерации, а также требования нормативно-техническо</w:t>
      </w:r>
      <w:r>
        <w:rPr>
          <w:rFonts w:ascii="Times New Roman" w:hAnsi="Times New Roman"/>
          <w:sz w:val="24"/>
          <w:szCs w:val="24"/>
          <w:highlight w:val="white"/>
          <w:lang w:eastAsia="ru-RU"/>
        </w:rPr>
        <w:t xml:space="preserve">й документации, обеспечивающие надежность работы и безопасность эксплуатации находящихся в ведении Заявителя объектов электроэнергетики и исправность используемых им приборов и оборудования, связанных с потреблением и (или) передачей электрической энергии.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В случаях, предусмотренных законодательством Российской Федерации, направить в адрес Сетевой организации подписанный Заявителем проект Акта согласования технологической и (или) аварийной брони в двух экземплярах.</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Отказ от исполнения обязательств по Договору на основании пункта 2.4.2 Договора допускается </w:t>
      </w:r>
      <w:r>
        <w:rPr>
          <w:rFonts w:ascii="Times New Roman" w:hAnsi="Times New Roman" w:eastAsia="Times New Roman"/>
          <w:sz w:val="24"/>
          <w:szCs w:val="24"/>
          <w:highlight w:val="white"/>
          <w:lang w:eastAsia="ru-RU"/>
        </w:rPr>
        <w:t xml:space="preserve">не позднее даты </w:t>
      </w:r>
      <w:r>
        <w:rPr>
          <w:rFonts w:ascii="Times New Roman" w:hAnsi="Times New Roman"/>
          <w:sz w:val="24"/>
          <w:szCs w:val="24"/>
          <w:highlight w:val="white"/>
          <w:lang w:eastAsia="ru-RU"/>
        </w:rPr>
        <w:t xml:space="preserve">технической</w:t>
      </w:r>
      <w:r>
        <w:rPr>
          <w:rFonts w:ascii="Times New Roman" w:hAnsi="Times New Roman" w:eastAsia="Times New Roman"/>
          <w:sz w:val="24"/>
          <w:szCs w:val="24"/>
          <w:highlight w:val="white"/>
          <w:lang w:eastAsia="ru-RU"/>
        </w:rPr>
        <w:t xml:space="preserve"> готовности Сетевой организации к осуществлению присоединения </w:t>
      </w:r>
      <w:r>
        <w:rPr>
          <w:rFonts w:ascii="Times New Roman" w:hAnsi="Times New Roman"/>
          <w:sz w:val="24"/>
          <w:szCs w:val="24"/>
          <w:highlight w:val="white"/>
        </w:rPr>
        <w:t xml:space="preserve">энергопринимающих устройств</w:t>
      </w:r>
      <w:r>
        <w:rPr>
          <w:rFonts w:ascii="Times New Roman" w:hAnsi="Times New Roman" w:eastAsia="Times New Roman"/>
          <w:sz w:val="24"/>
          <w:szCs w:val="24"/>
          <w:highlight w:val="white"/>
          <w:lang w:eastAsia="ru-RU"/>
        </w:rPr>
        <w:t xml:space="preserve"> Заявителя к объектам электросетевого хозяйства Сетевой организации. Заявитель обязуется известить Сетевую организацию об отказе от исполнения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Возмещение </w:t>
      </w:r>
      <w:r>
        <w:rPr>
          <w:rFonts w:ascii="Times New Roman" w:hAnsi="Times New Roman"/>
          <w:sz w:val="24"/>
          <w:szCs w:val="24"/>
          <w:highlight w:val="white"/>
          <w:lang w:eastAsia="ru-RU"/>
        </w:rPr>
        <w:t xml:space="preserve">расходов</w:t>
      </w:r>
      <w:r>
        <w:rPr>
          <w:rFonts w:ascii="Times New Roman" w:hAnsi="Times New Roman" w:eastAsia="Times New Roman"/>
          <w:sz w:val="24"/>
          <w:szCs w:val="24"/>
          <w:highlight w:val="white"/>
          <w:lang w:eastAsia="ru-RU"/>
        </w:rPr>
        <w:t xml:space="preserve"> произв</w:t>
      </w:r>
      <w:r>
        <w:rPr>
          <w:rFonts w:ascii="Times New Roman" w:hAnsi="Times New Roman" w:eastAsia="Times New Roman"/>
          <w:sz w:val="24"/>
          <w:szCs w:val="24"/>
          <w:highlight w:val="white"/>
          <w:lang w:eastAsia="ru-RU"/>
        </w:rPr>
        <w:t xml:space="preserve">одится путем перечисления Заявителем денежных средств на расчетный счет Сетевой организации, указанный в разделе 8 Договора. Датой исполнения Заявителем обязательств по оплате является дата зачисления денежных средств на расчетный счет Сетевой организации.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Подписать указанное в пункте 2.1.8 Договора дополнительное соглашение и в течение 10 (десяти) </w:t>
      </w:r>
      <w:r>
        <w:rPr>
          <w:rFonts w:ascii="Times New Roman" w:hAnsi="Times New Roman"/>
          <w:sz w:val="24"/>
          <w:szCs w:val="24"/>
          <w:highlight w:val="white"/>
          <w:lang w:eastAsia="ru-RU"/>
        </w:rPr>
        <w:t xml:space="preserve">рабочих</w:t>
      </w:r>
      <w:r>
        <w:rPr>
          <w:rFonts w:ascii="Times New Roman" w:hAnsi="Times New Roman" w:eastAsia="Times New Roman"/>
          <w:sz w:val="24"/>
          <w:szCs w:val="24"/>
          <w:highlight w:val="white"/>
          <w:lang w:eastAsia="ru-RU"/>
        </w:rPr>
        <w:t xml:space="preserve"> дней со дня его получения направить в адрес Сетевой организации один из подписанных обеими сторонами экземпляров либо мотивированный отказ от подписания дополнительного соглашения</w:t>
      </w:r>
      <w:r>
        <w:rPr>
          <w:rFonts w:ascii="Times New Roman" w:hAnsi="Times New Roman" w:eastAsia="Times New Roman"/>
          <w:sz w:val="24"/>
          <w:szCs w:val="24"/>
          <w:highlight w:val="white"/>
          <w:lang w:eastAsia="ru-RU"/>
        </w:rPr>
        <w:t xml:space="preserve"> </w:t>
      </w:r>
      <w:r>
        <w:rPr>
          <w:rFonts w:ascii="Times New Roman" w:hAnsi="Times New Roman" w:eastAsia="Times New Roman"/>
          <w:sz w:val="24"/>
          <w:szCs w:val="24"/>
          <w:lang w:eastAsia="ru-RU"/>
        </w:rPr>
        <w:t xml:space="preserve">в тот же срок</w:t>
      </w:r>
      <w:r>
        <w:rPr>
          <w:rFonts w:ascii="Times New Roman" w:hAnsi="Times New Roman" w:eastAsia="Times New Roman"/>
          <w:sz w:val="24"/>
          <w:szCs w:val="24"/>
          <w:highlight w:val="white"/>
          <w:lang w:eastAsia="ru-RU"/>
        </w:rPr>
        <w:t xml:space="preserve">.</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lang w:eastAsia="ru-RU"/>
        </w:rPr>
      </w:pPr>
      <w:r>
        <w:rPr>
          <w:rFonts w:ascii="Times New Roman" w:hAnsi="Times New Roman" w:eastAsia="Times New Roman"/>
          <w:sz w:val="24"/>
          <w:szCs w:val="24"/>
          <w:highlight w:val="white"/>
          <w:lang w:eastAsia="ru-RU"/>
        </w:rPr>
        <w:t xml:space="preserve">В случае если Сетевая организация направила в адрес Заявителя указанное в пункте 2.1.8 Договора дополнительное соглашение, а Заявитель не исполнил требования абзаца 1 настоящего пункта и не направил в установ</w:t>
      </w:r>
      <w:r>
        <w:rPr>
          <w:rFonts w:ascii="Times New Roman" w:hAnsi="Times New Roman" w:eastAsia="Times New Roman"/>
          <w:sz w:val="24"/>
          <w:szCs w:val="24"/>
          <w:highlight w:val="white"/>
          <w:lang w:eastAsia="ru-RU"/>
        </w:rPr>
        <w:t xml:space="preserve">ленный срок в адрес Сетевой организации дополнительное соглашение (мотивированный отказ от его подписания), по истечении указанного в абзаце 1 настоящего пункта срока направленное в адрес Заявителя дополнительное соглашение считается заключенным Сторонами.</w:t>
      </w:r>
      <w:r>
        <w:rPr>
          <w:rFonts w:ascii="Times New Roman" w:hAnsi="Times New Roman" w:eastAsia="Times New Roman"/>
          <w:sz w:val="24"/>
          <w:szCs w:val="24"/>
          <w:highlight w:val="white"/>
          <w:lang w:eastAsia="ru-RU"/>
        </w:rPr>
      </w:r>
      <w:r>
        <w:rPr>
          <w:rFonts w:ascii="Times New Roman" w:hAnsi="Times New Roman" w:eastAsia="Times New Roman"/>
          <w:sz w:val="24"/>
          <w:szCs w:val="24"/>
          <w:highlight w:val="white"/>
          <w:lang w:eastAsia="ru-RU"/>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lang w:eastAsia="ru-RU"/>
        </w:rPr>
      </w:pPr>
      <w:r>
        <w:rPr>
          <w:rFonts w:ascii="Times New Roman" w:hAnsi="Times New Roman" w:eastAsia="Times New Roman"/>
          <w:sz w:val="24"/>
          <w:szCs w:val="24"/>
          <w:highlight w:val="white"/>
          <w:lang w:eastAsia="ru-RU"/>
        </w:rPr>
        <w:t xml:space="preserve">Подписать указанное в пункте 2.1.9 Договора дополнительное соглашение об изменении платы за технологическое присоединение и направить в адрес Сетевой организации подписанный проект дополнительного соглашения к До</w:t>
      </w:r>
      <w:r>
        <w:rPr>
          <w:rFonts w:ascii="Times New Roman" w:hAnsi="Times New Roman" w:eastAsia="Times New Roman"/>
          <w:sz w:val="24"/>
          <w:szCs w:val="24"/>
          <w:highlight w:val="white"/>
          <w:lang w:eastAsia="ru-RU"/>
        </w:rPr>
        <w:t xml:space="preserve">говору об изменении платы за технологическое присоединение в течение 30 (тридцати) рабочих дней со дня его получения, либо направить отказ от заключения дополнительного соглашения к Договору об изменении платы за технологическое присоединение в тот же срок</w:t>
      </w:r>
      <w:r>
        <w:rPr>
          <w:rFonts w:ascii="Times New Roman" w:hAnsi="Times New Roman" w:eastAsia="Times New Roman"/>
          <w:sz w:val="24"/>
          <w:szCs w:val="24"/>
          <w:highlight w:val="white"/>
          <w:lang w:eastAsia="ru-RU"/>
        </w:rPr>
        <w:t xml:space="preserve"> (в соответствии с пунктом 2.3.9 Договора).</w:t>
      </w:r>
      <w:r>
        <w:rPr>
          <w:rFonts w:ascii="Times New Roman" w:hAnsi="Times New Roman" w:eastAsia="Times New Roman"/>
          <w:sz w:val="24"/>
          <w:szCs w:val="24"/>
          <w:highlight w:val="white"/>
          <w:lang w:eastAsia="ru-RU"/>
        </w:rPr>
      </w:r>
      <w:r>
        <w:rPr>
          <w:rFonts w:ascii="Times New Roman" w:hAnsi="Times New Roman" w:eastAsia="Times New Roman"/>
          <w:sz w:val="24"/>
          <w:szCs w:val="24"/>
          <w:highlight w:val="white"/>
          <w:lang w:eastAsia="ru-RU"/>
        </w:rPr>
      </w:r>
    </w:p>
    <w:p>
      <w:pPr>
        <w:pStyle w:val="673"/>
        <w:widowControl w:val="off"/>
        <w:numPr>
          <w:numId w:val="4"/>
          <w:ilvl w:val="1"/>
        </w:numPr>
        <w:tabs>
          <w:tab w:val="left" w:pos="851" w:leader="none"/>
        </w:tabs>
        <w:spacing w:after="0" w:line="240" w:lineRule="auto"/>
        <w:ind w:left="0" w:firstLine="567"/>
        <w:contextualSpacing/>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Заявитель имеет право:</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4"/>
          <w:ilvl w:val="2"/>
        </w:numPr>
        <w:tabs>
          <w:tab w:val="left" w:pos="851"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одно</w:t>
      </w:r>
      <w:r>
        <w:rPr>
          <w:rFonts w:ascii="Times New Roman" w:hAnsi="Times New Roman" w:eastAsia="Times New Roman"/>
          <w:sz w:val="24"/>
          <w:szCs w:val="24"/>
          <w:highlight w:val="white"/>
          <w:lang w:eastAsia="ru-RU"/>
        </w:rPr>
        <w:t xml:space="preserve">стороннем порядке расторгнуть настоящий Договор в случае нарушения Сетевой организацией сроков выполнения мероприятий по технологическому присоединению, указанных в настоящем Договоре, с учетом возмещения Сетевой организации фактически понесенных расходов.</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1418"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0"/>
        </w:numPr>
        <w:spacing w:after="0" w:line="240" w:lineRule="auto"/>
        <w:ind w:left="0"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Размер платы по Договору и порядок ее внесения Заявителем</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spacing w:after="0"/>
        <w:ind w:firstLine="567"/>
        <w:jc w:val="both"/>
        <w:rPr>
          <w:rFonts w:ascii="Times New Roman" w:hAnsi="Times New Roman" w:eastAsia="Times New Roman"/>
          <w:b/>
          <w:bCs/>
          <w:sz w:val="20"/>
          <w:szCs w:val="20"/>
          <w:lang w:eastAsia="ru-RU"/>
        </w:rPr>
      </w:pPr>
      <w:r>
        <w:rPr>
          <w:rFonts w:ascii="Times New Roman" w:hAnsi="Times New Roman"/>
          <w:sz w:val="24"/>
          <w:szCs w:val="24"/>
          <w:lang w:eastAsia="ru-RU"/>
        </w:rPr>
        <w:t xml:space="preserve">Предварительный размер платы за технологическое присоединение рассчитан в соответствии с утверждёнными сметными нормативами </w:t>
      </w:r>
      <w:r>
        <w:rPr>
          <w:rFonts w:ascii="Times New Roman" w:hAnsi="Times New Roman"/>
          <w:sz w:val="24"/>
          <w:szCs w:val="24"/>
        </w:rPr>
        <w:t xml:space="preserve">и составляет</w:t>
      </w:r>
      <w:r>
        <w:rPr>
          <w:rFonts w:ascii="Times New Roman" w:hAnsi="Times New Roman"/>
          <w:sz w:val="24"/>
          <w:szCs w:val="24"/>
        </w:rPr>
        <w:t xml:space="preserve">: </w:t>
      </w:r>
      <w:r>
        <w:rPr>
          <w:rFonts w:ascii="Times New Roman" w:hAnsi="Times New Roman"/>
          <w:b/>
          <w:sz w:val="24"/>
          <w:szCs w:val="24"/>
        </w:rPr>
        <w:t xml:space="preserve">__________</w:t>
      </w:r>
      <w:r>
        <w:rPr>
          <w:rFonts w:ascii="Times New Roman" w:hAnsi="Times New Roman" w:eastAsia="Times New Roman"/>
          <w:b/>
          <w:bCs/>
          <w:sz w:val="20"/>
          <w:szCs w:val="20"/>
          <w:lang w:eastAsia="ru-RU"/>
        </w:rPr>
        <w:t xml:space="preserve"> </w:t>
      </w:r>
      <w:r>
        <w:rPr>
          <w:rFonts w:ascii="Times New Roman" w:hAnsi="Times New Roman" w:eastAsia="Times New Roman"/>
          <w:b/>
          <w:bCs/>
          <w:sz w:val="20"/>
          <w:szCs w:val="20"/>
          <w:lang w:eastAsia="ru-RU"/>
        </w:rPr>
        <w:t xml:space="preserve">(</w:t>
      </w:r>
      <w:r>
        <w:rPr>
          <w:rFonts w:ascii="Times New Roman" w:hAnsi="Times New Roman"/>
          <w:b/>
          <w:sz w:val="24"/>
          <w:szCs w:val="24"/>
        </w:rPr>
        <w:fldChar w:fldCharType="begin"/>
      </w:r>
      <w:r>
        <w:rPr>
          <w:rFonts w:ascii="Times New Roman" w:hAnsi="Times New Roman"/>
          <w:b/>
          <w:sz w:val="24"/>
          <w:szCs w:val="24"/>
        </w:rPr>
        <w:instrText xml:space="preserve"> DOCVARIABLE  СтрСуммаДоговора </w:instrText>
      </w:r>
      <w:r>
        <w:rPr>
          <w:rFonts w:ascii="Times New Roman" w:hAnsi="Times New Roman"/>
          <w:b/>
          <w:sz w:val="24"/>
          <w:szCs w:val="24"/>
        </w:rPr>
        <w:fldChar w:fldCharType="separate"/>
      </w:r>
      <w:r>
        <w:rPr>
          <w:rFonts w:ascii="Times New Roman" w:hAnsi="Times New Roman"/>
          <w:b/>
          <w:sz w:val="24"/>
          <w:szCs w:val="24"/>
        </w:rPr>
        <w:t xml:space="preserve">___________________</w:t>
      </w:r>
      <w:r>
        <w:rPr>
          <w:rFonts w:ascii="Times New Roman" w:hAnsi="Times New Roman"/>
          <w:b/>
          <w:sz w:val="24"/>
          <w:szCs w:val="24"/>
        </w:rPr>
        <w:t xml:space="preserve">)  рубл</w:t>
      </w:r>
      <w:r>
        <w:rPr>
          <w:rFonts w:ascii="Times New Roman" w:hAnsi="Times New Roman"/>
          <w:b/>
          <w:sz w:val="24"/>
          <w:szCs w:val="24"/>
        </w:rPr>
        <w:t xml:space="preserve">ей</w:t>
      </w:r>
      <w:r>
        <w:rPr>
          <w:rFonts w:ascii="Times New Roman" w:hAnsi="Times New Roman"/>
          <w:b/>
          <w:sz w:val="24"/>
          <w:szCs w:val="24"/>
        </w:rPr>
        <w:t xml:space="preserve"> </w:t>
      </w:r>
      <w:r>
        <w:rPr>
          <w:rFonts w:ascii="Times New Roman" w:hAnsi="Times New Roman"/>
          <w:b/>
          <w:sz w:val="24"/>
          <w:szCs w:val="24"/>
        </w:rPr>
        <w:t xml:space="preserve">______</w:t>
      </w:r>
      <w:r>
        <w:rPr>
          <w:rFonts w:ascii="Times New Roman" w:hAnsi="Times New Roman"/>
          <w:b/>
          <w:sz w:val="24"/>
          <w:szCs w:val="24"/>
        </w:rPr>
        <w:t xml:space="preserve"> копеек</w:t>
      </w:r>
      <w:r>
        <w:rPr>
          <w:rFonts w:ascii="Times New Roman" w:hAnsi="Times New Roman"/>
          <w:b/>
          <w:sz w:val="24"/>
          <w:szCs w:val="24"/>
        </w:rPr>
        <w:fldChar w:fldCharType="end"/>
      </w:r>
      <w:r>
        <w:rPr>
          <w:rFonts w:ascii="Times New Roman" w:hAnsi="Times New Roman"/>
          <w:sz w:val="24"/>
          <w:szCs w:val="24"/>
        </w:rPr>
        <w:t xml:space="preserve">, </w:t>
      </w:r>
      <w:r>
        <w:rPr>
          <w:rFonts w:ascii="Times New Roman" w:hAnsi="Times New Roman"/>
          <w:b/>
          <w:sz w:val="24"/>
          <w:szCs w:val="24"/>
        </w:rPr>
        <w:t xml:space="preserve">в т.ч. НДС (</w:t>
      </w:r>
      <w:r>
        <w:rPr>
          <w:rFonts w:ascii="Times New Roman" w:hAnsi="Times New Roman"/>
          <w:b/>
          <w:sz w:val="24"/>
          <w:szCs w:val="24"/>
        </w:rPr>
        <w:fldChar w:fldCharType="begin"/>
      </w:r>
      <w:r>
        <w:rPr>
          <w:rFonts w:ascii="Times New Roman" w:hAnsi="Times New Roman"/>
          <w:b/>
          <w:sz w:val="24"/>
          <w:szCs w:val="24"/>
        </w:rPr>
        <w:instrText xml:space="preserve"> DOCVARIABLE  СтрСуммаНДС </w:instrText>
      </w:r>
      <w:r>
        <w:rPr>
          <w:rFonts w:ascii="Times New Roman" w:hAnsi="Times New Roman"/>
          <w:b/>
          <w:sz w:val="24"/>
          <w:szCs w:val="24"/>
        </w:rPr>
        <w:fldChar w:fldCharType="separate"/>
      </w:r>
      <w:r>
        <w:rPr>
          <w:rFonts w:ascii="Times New Roman" w:hAnsi="Times New Roman"/>
          <w:b/>
          <w:sz w:val="24"/>
          <w:szCs w:val="24"/>
        </w:rPr>
        <w:t xml:space="preserve">20%</w:t>
      </w:r>
      <w:r>
        <w:rPr>
          <w:rFonts w:ascii="Times New Roman" w:hAnsi="Times New Roman"/>
          <w:b/>
          <w:sz w:val="24"/>
          <w:szCs w:val="24"/>
        </w:rPr>
        <w:t xml:space="preserve">)</w:t>
      </w:r>
      <w:r>
        <w:rPr>
          <w:rFonts w:ascii="Times New Roman" w:hAnsi="Times New Roman"/>
          <w:b/>
          <w:sz w:val="24"/>
          <w:szCs w:val="24"/>
        </w:rPr>
        <w:t xml:space="preserve"> </w:t>
      </w:r>
      <w:r>
        <w:rPr>
          <w:rFonts w:ascii="Times New Roman" w:hAnsi="Times New Roman"/>
          <w:b/>
          <w:sz w:val="24"/>
          <w:szCs w:val="24"/>
        </w:rPr>
        <w:t xml:space="preserve">_____________</w:t>
      </w:r>
      <w:r>
        <w:rPr>
          <w:rFonts w:ascii="Times New Roman" w:hAnsi="Times New Roman"/>
          <w:b/>
          <w:sz w:val="24"/>
          <w:szCs w:val="24"/>
        </w:rPr>
        <w:t xml:space="preserve"> (</w:t>
      </w:r>
      <w:r>
        <w:rPr>
          <w:rFonts w:ascii="Times New Roman" w:hAnsi="Times New Roman"/>
          <w:b/>
          <w:sz w:val="24"/>
          <w:szCs w:val="24"/>
        </w:rPr>
        <w:t xml:space="preserve">______________</w:t>
      </w:r>
      <w:r>
        <w:rPr>
          <w:rFonts w:ascii="Times New Roman" w:hAnsi="Times New Roman"/>
          <w:b/>
          <w:sz w:val="24"/>
          <w:szCs w:val="24"/>
        </w:rPr>
        <w:t xml:space="preserve">)  рубл</w:t>
      </w:r>
      <w:r>
        <w:rPr>
          <w:rFonts w:ascii="Times New Roman" w:hAnsi="Times New Roman"/>
          <w:b/>
          <w:sz w:val="24"/>
          <w:szCs w:val="24"/>
        </w:rPr>
        <w:t xml:space="preserve">ей ______</w:t>
      </w:r>
      <w:r>
        <w:rPr>
          <w:rFonts w:ascii="Times New Roman" w:hAnsi="Times New Roman"/>
          <w:b/>
          <w:sz w:val="24"/>
          <w:szCs w:val="24"/>
        </w:rPr>
        <w:t xml:space="preserve"> копе</w:t>
      </w:r>
      <w:r>
        <w:rPr>
          <w:rFonts w:ascii="Times New Roman" w:hAnsi="Times New Roman"/>
          <w:b/>
          <w:sz w:val="24"/>
          <w:szCs w:val="24"/>
        </w:rPr>
        <w:t xml:space="preserve">йки</w:t>
      </w:r>
      <w:r>
        <w:rPr>
          <w:rFonts w:ascii="Times New Roman" w:hAnsi="Times New Roman"/>
          <w:b/>
          <w:sz w:val="24"/>
          <w:szCs w:val="24"/>
        </w:rPr>
        <w:fldChar w:fldCharType="end"/>
      </w:r>
      <w:r>
        <w:rPr>
          <w:rFonts w:ascii="Times New Roman" w:hAnsi="Times New Roman"/>
          <w:b/>
          <w:sz w:val="24"/>
          <w:szCs w:val="24"/>
        </w:rPr>
        <w:t xml:space="preserve">.</w:t>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pStyle w:val="673"/>
        <w:tabs>
          <w:tab w:val="left" w:pos="1276" w:leader="none"/>
          <w:tab w:val="left" w:pos="1418" w:leader="none"/>
        </w:tabs>
        <w:spacing w:after="0" w:line="240" w:lineRule="auto"/>
        <w:ind w:firstLine="567"/>
        <w:jc w:val="both"/>
        <w:rPr>
          <w:rFonts w:ascii="Times New Roman" w:hAnsi="Times New Roman" w:eastAsia="Times New Roman"/>
          <w:sz w:val="24"/>
          <w:szCs w:val="24"/>
        </w:rPr>
      </w:pPr>
      <w:r>
        <w:rPr>
          <w:rFonts w:ascii="Times New Roman" w:hAnsi="Times New Roman" w:eastAsia="Times New Roman"/>
          <w:sz w:val="24"/>
          <w:szCs w:val="24"/>
        </w:rPr>
        <w:t xml:space="preserve">Расчет предварительного размера платы за технологическое присоединение приведен в Приложении № 2 к Договору.</w:t>
      </w:r>
      <w:r>
        <w:rPr>
          <w:rFonts w:ascii="Times New Roman" w:hAnsi="Times New Roman" w:eastAsia="Times New Roman"/>
          <w:sz w:val="24"/>
          <w:szCs w:val="24"/>
        </w:rPr>
      </w:r>
      <w:r>
        <w:rPr>
          <w:rFonts w:ascii="Times New Roman" w:hAnsi="Times New Roman" w:eastAsia="Times New Roman"/>
          <w:sz w:val="24"/>
          <w:szCs w:val="24"/>
        </w:rPr>
      </w:r>
    </w:p>
    <w:p>
      <w:pPr>
        <w:pStyle w:val="673"/>
        <w:spacing w:after="0" w:line="240" w:lineRule="auto"/>
        <w:ind w:firstLine="567"/>
        <w:contextualSpacing/>
        <w:jc w:val="both"/>
        <w:rPr>
          <w:rFonts w:ascii="Times New Roman" w:hAnsi="Times New Roman" w:eastAsia="Times New Roman"/>
          <w:sz w:val="24"/>
          <w:szCs w:val="24"/>
        </w:rPr>
      </w:pPr>
      <w:r>
        <w:rPr>
          <w:rFonts w:ascii="Times New Roman" w:hAnsi="Times New Roman" w:eastAsia="Times New Roman"/>
          <w:sz w:val="24"/>
          <w:szCs w:val="24"/>
        </w:rPr>
        <w:t xml:space="preserve">С </w:t>
      </w:r>
      <w:r>
        <w:rPr>
          <w:rFonts w:ascii="Times New Roman" w:hAnsi="Times New Roman" w:eastAsia="Times New Roman"/>
          <w:sz w:val="24"/>
          <w:szCs w:val="24"/>
        </w:rPr>
        <w:t xml:space="preserve">возникновением изменений законодательства РФ, связанных с введением/исключением или повышением/понижением размера налогов, сборов, иных обязательных платежей, Стороны осуществляют соответствующее повышение/понижение размера платы по Договору в порядке, пре</w:t>
      </w:r>
      <w:r>
        <w:rPr>
          <w:rFonts w:ascii="Times New Roman" w:hAnsi="Times New Roman" w:eastAsia="Times New Roman"/>
          <w:sz w:val="24"/>
          <w:szCs w:val="24"/>
        </w:rPr>
        <w:t xml:space="preserve">дусмотренном п.п. 2.1.8 и 2.3.16</w:t>
      </w:r>
      <w:r>
        <w:rPr>
          <w:rFonts w:ascii="Times New Roman" w:hAnsi="Times New Roman" w:eastAsia="Times New Roman"/>
          <w:sz w:val="24"/>
          <w:szCs w:val="24"/>
        </w:rPr>
        <w:t xml:space="preserve"> Договора.</w:t>
      </w:r>
      <w:r>
        <w:rPr>
          <w:rFonts w:ascii="Times New Roman" w:hAnsi="Times New Roman" w:eastAsia="Times New Roman"/>
          <w:sz w:val="24"/>
          <w:szCs w:val="24"/>
        </w:rPr>
      </w:r>
      <w:r>
        <w:rPr>
          <w:rFonts w:ascii="Times New Roman" w:hAnsi="Times New Roman" w:eastAsia="Times New Roman"/>
          <w:sz w:val="24"/>
          <w:szCs w:val="24"/>
        </w:rPr>
      </w:r>
    </w:p>
    <w:p>
      <w:pPr>
        <w:pStyle w:val="851"/>
        <w:widowControl w:val="off"/>
        <w:numPr>
          <w:numId w:val="3"/>
          <w:ilvl w:val="1"/>
        </w:numPr>
        <w:tabs>
          <w:tab w:val="left" w:pos="1418" w:leader="none"/>
        </w:tabs>
        <w:spacing w:after="0" w:line="240" w:lineRule="auto"/>
        <w:ind w:left="0" w:firstLine="567"/>
        <w:jc w:val="both"/>
        <w:rPr>
          <w:rFonts w:ascii="Times New Roman" w:hAnsi="Times New Roman" w:eastAsia="Times New Roman"/>
          <w:sz w:val="24"/>
          <w:szCs w:val="24"/>
        </w:rPr>
      </w:pPr>
      <w:r>
        <w:rPr>
          <w:rFonts w:ascii="Times New Roman" w:hAnsi="Times New Roman" w:eastAsia="Times New Roman"/>
          <w:sz w:val="24"/>
          <w:szCs w:val="24"/>
        </w:rPr>
        <w:t xml:space="preserve">Внесение </w:t>
      </w:r>
      <w:r>
        <w:rPr>
          <w:rFonts w:ascii="Times New Roman" w:hAnsi="Times New Roman" w:eastAsia="Times New Roman"/>
          <w:sz w:val="24"/>
          <w:szCs w:val="24"/>
          <w:lang w:eastAsia="ru-RU"/>
        </w:rPr>
        <w:t xml:space="preserve">платы</w:t>
      </w:r>
      <w:r>
        <w:rPr>
          <w:rFonts w:ascii="Times New Roman" w:hAnsi="Times New Roman" w:eastAsia="Times New Roman"/>
          <w:sz w:val="24"/>
          <w:szCs w:val="24"/>
        </w:rPr>
        <w:t xml:space="preserve"> за технологическое присоединение осуществляется Заявителем путем внесения денежных средств на расчетный счет Сетевой организации в следующем порядке: </w:t>
      </w:r>
      <w:r>
        <w:rPr>
          <w:rFonts w:ascii="Times New Roman" w:hAnsi="Times New Roman" w:eastAsia="Times New Roman"/>
          <w:sz w:val="24"/>
          <w:szCs w:val="24"/>
        </w:rPr>
      </w:r>
      <w:r>
        <w:rPr>
          <w:rFonts w:ascii="Times New Roman" w:hAnsi="Times New Roman" w:eastAsia="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eastAsia="Times New Roman"/>
          <w:sz w:val="24"/>
          <w:szCs w:val="24"/>
        </w:rPr>
      </w:pPr>
      <w:r>
        <w:rPr>
          <w:rFonts w:ascii="Times New Roman" w:hAnsi="Times New Roman" w:eastAsia="Times New Roman"/>
          <w:sz w:val="24"/>
          <w:szCs w:val="24"/>
        </w:rPr>
        <w:t xml:space="preserve"> - </w:t>
      </w:r>
      <w:r>
        <w:rPr>
          <w:rFonts w:ascii="Times New Roman" w:hAnsi="Times New Roman" w:eastAsia="Times New Roman"/>
          <w:sz w:val="24"/>
          <w:szCs w:val="24"/>
        </w:rPr>
        <w:t xml:space="preserve">10</w:t>
      </w:r>
      <w:r>
        <w:rPr>
          <w:rFonts w:ascii="Times New Roman" w:hAnsi="Times New Roman" w:eastAsia="Times New Roman"/>
          <w:sz w:val="24"/>
          <w:szCs w:val="24"/>
        </w:rPr>
        <w:t xml:space="preserve"> %  предварительного размера платы, определяемого на основании п.3.1. Договора, в </w:t>
      </w:r>
      <w:r>
        <w:rPr>
          <w:rFonts w:ascii="Times New Roman" w:hAnsi="Times New Roman" w:eastAsia="Times New Roman"/>
          <w:sz w:val="24"/>
          <w:szCs w:val="24"/>
        </w:rPr>
        <w:t xml:space="preserve">размере </w:t>
      </w:r>
      <w:r>
        <w:rPr>
          <w:rFonts w:ascii="Times New Roman" w:hAnsi="Times New Roman" w:eastAsia="Times New Roman"/>
          <w:sz w:val="24"/>
          <w:szCs w:val="24"/>
        </w:rPr>
        <w:t xml:space="preserve">____________</w:t>
      </w:r>
      <w:r>
        <w:rPr>
          <w:rFonts w:ascii="Times New Roman" w:hAnsi="Times New Roman" w:eastAsia="Times New Roman"/>
          <w:sz w:val="24"/>
          <w:szCs w:val="24"/>
        </w:rPr>
        <w:t xml:space="preserve"> (</w:t>
      </w:r>
      <w:r>
        <w:rPr>
          <w:rFonts w:ascii="Times New Roman" w:hAnsi="Times New Roman" w:eastAsia="Times New Roman"/>
          <w:sz w:val="24"/>
          <w:szCs w:val="24"/>
        </w:rPr>
        <w:t xml:space="preserve">__________________</w:t>
      </w:r>
      <w:r>
        <w:rPr>
          <w:rFonts w:ascii="Times New Roman" w:hAnsi="Times New Roman" w:eastAsia="Times New Roman"/>
          <w:sz w:val="24"/>
          <w:szCs w:val="24"/>
        </w:rPr>
        <w:t xml:space="preserve">)</w:t>
      </w:r>
      <w:r>
        <w:rPr>
          <w:rFonts w:ascii="Times New Roman" w:hAnsi="Times New Roman" w:eastAsia="Times New Roman"/>
          <w:sz w:val="24"/>
          <w:szCs w:val="24"/>
        </w:rPr>
        <w:t xml:space="preserve"> рубля</w:t>
      </w:r>
      <w:r>
        <w:rPr>
          <w:rFonts w:ascii="Times New Roman" w:hAnsi="Times New Roman" w:eastAsia="Times New Roman"/>
          <w:sz w:val="24"/>
          <w:szCs w:val="24"/>
        </w:rPr>
        <w:t xml:space="preserve"> </w:t>
      </w:r>
      <w:r>
        <w:rPr>
          <w:rFonts w:ascii="Times New Roman" w:hAnsi="Times New Roman" w:eastAsia="Times New Roman"/>
          <w:sz w:val="24"/>
          <w:szCs w:val="24"/>
        </w:rPr>
        <w:t xml:space="preserve">______</w:t>
      </w:r>
      <w:r>
        <w:rPr>
          <w:rFonts w:ascii="Times New Roman" w:hAnsi="Times New Roman" w:eastAsia="Times New Roman"/>
          <w:sz w:val="24"/>
          <w:szCs w:val="24"/>
        </w:rPr>
        <w:t xml:space="preserve"> копе</w:t>
      </w:r>
      <w:r>
        <w:rPr>
          <w:rFonts w:ascii="Times New Roman" w:hAnsi="Times New Roman" w:eastAsia="Times New Roman"/>
          <w:sz w:val="24"/>
          <w:szCs w:val="24"/>
        </w:rPr>
        <w:t xml:space="preserve">ек</w:t>
      </w:r>
      <w:r>
        <w:rPr>
          <w:rFonts w:ascii="Times New Roman" w:hAnsi="Times New Roman" w:eastAsia="Times New Roman"/>
          <w:sz w:val="24"/>
          <w:szCs w:val="24"/>
        </w:rPr>
        <w:t xml:space="preserve">, в т.ч. </w:t>
      </w:r>
      <w:r>
        <w:rPr>
          <w:rFonts w:ascii="Times New Roman" w:hAnsi="Times New Roman" w:eastAsia="Times New Roman"/>
          <w:sz w:val="24"/>
          <w:szCs w:val="24"/>
        </w:rPr>
        <w:t xml:space="preserve">НДС (</w:t>
      </w:r>
      <w:r>
        <w:rPr>
          <w:rFonts w:ascii="Times New Roman" w:hAnsi="Times New Roman" w:eastAsia="Times New Roman"/>
          <w:sz w:val="24"/>
          <w:szCs w:val="24"/>
        </w:rPr>
        <w:t xml:space="preserve">20%</w:t>
      </w:r>
      <w:r>
        <w:rPr>
          <w:rFonts w:ascii="Times New Roman" w:hAnsi="Times New Roman" w:eastAsia="Times New Roman"/>
          <w:sz w:val="24"/>
          <w:szCs w:val="24"/>
        </w:rPr>
        <w:t xml:space="preserve">)</w:t>
      </w:r>
      <w:r>
        <w:rPr>
          <w:rFonts w:ascii="Times New Roman" w:hAnsi="Times New Roman" w:eastAsia="Times New Roman"/>
          <w:sz w:val="24"/>
          <w:szCs w:val="24"/>
        </w:rPr>
        <w:t xml:space="preserve"> </w:t>
      </w:r>
      <w:r>
        <w:rPr>
          <w:rFonts w:ascii="Times New Roman" w:hAnsi="Times New Roman" w:eastAsia="Times New Roman"/>
          <w:sz w:val="24"/>
          <w:szCs w:val="24"/>
        </w:rPr>
        <w:t xml:space="preserve">____________</w:t>
      </w:r>
      <w:r>
        <w:rPr>
          <w:rFonts w:ascii="Times New Roman" w:hAnsi="Times New Roman" w:eastAsia="Times New Roman"/>
          <w:sz w:val="24"/>
          <w:szCs w:val="24"/>
        </w:rPr>
        <w:t xml:space="preserve"> (</w:t>
      </w:r>
      <w:r>
        <w:rPr>
          <w:rFonts w:ascii="Times New Roman" w:hAnsi="Times New Roman" w:eastAsia="Times New Roman"/>
          <w:sz w:val="24"/>
          <w:szCs w:val="24"/>
        </w:rPr>
        <w:t xml:space="preserve">_______________</w:t>
      </w:r>
      <w:r>
        <w:rPr>
          <w:rFonts w:ascii="Times New Roman" w:hAnsi="Times New Roman" w:eastAsia="Times New Roman"/>
          <w:sz w:val="24"/>
          <w:szCs w:val="24"/>
        </w:rPr>
        <w:t xml:space="preserve">) </w:t>
      </w:r>
      <w:r>
        <w:rPr>
          <w:rFonts w:ascii="Times New Roman" w:hAnsi="Times New Roman" w:eastAsia="Times New Roman"/>
          <w:sz w:val="24"/>
          <w:szCs w:val="24"/>
        </w:rPr>
        <w:t xml:space="preserve">рублей ______</w:t>
      </w:r>
      <w:r>
        <w:rPr>
          <w:rFonts w:ascii="Times New Roman" w:hAnsi="Times New Roman" w:eastAsia="Times New Roman"/>
          <w:sz w:val="24"/>
          <w:szCs w:val="24"/>
        </w:rPr>
        <w:t xml:space="preserve"> коп</w:t>
      </w:r>
      <w:r>
        <w:rPr>
          <w:rFonts w:ascii="Times New Roman" w:hAnsi="Times New Roman" w:eastAsia="Times New Roman"/>
          <w:sz w:val="24"/>
          <w:szCs w:val="24"/>
        </w:rPr>
        <w:t xml:space="preserve">е</w:t>
      </w:r>
      <w:r>
        <w:rPr>
          <w:rFonts w:ascii="Times New Roman" w:hAnsi="Times New Roman" w:eastAsia="Times New Roman"/>
          <w:sz w:val="24"/>
          <w:szCs w:val="24"/>
        </w:rPr>
        <w:t xml:space="preserve">е</w:t>
      </w:r>
      <w:r>
        <w:rPr>
          <w:rFonts w:ascii="Times New Roman" w:hAnsi="Times New Roman" w:eastAsia="Times New Roman"/>
          <w:sz w:val="24"/>
          <w:szCs w:val="24"/>
        </w:rPr>
        <w:t xml:space="preserve">к</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и </w:t>
      </w:r>
      <w:r>
        <w:rPr>
          <w:rFonts w:ascii="Times New Roman" w:hAnsi="Times New Roman" w:eastAsia="Times New Roman"/>
          <w:sz w:val="24"/>
          <w:szCs w:val="24"/>
        </w:rPr>
        <w:t xml:space="preserve">вносится не позднее 10 (десяти) дней со дня заключения Договора</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sz w:val="24"/>
          <w:szCs w:val="24"/>
        </w:rPr>
      </w:pPr>
      <w:r>
        <w:rPr>
          <w:rFonts w:ascii="Times New Roman" w:hAnsi="Times New Roman" w:eastAsia="Times New Roman"/>
          <w:sz w:val="24"/>
          <w:szCs w:val="24"/>
        </w:rPr>
        <w:t xml:space="preserve">Стороны Договора вправе увеличить размер части платы за технологическое</w:t>
      </w:r>
      <w:r>
        <w:rPr>
          <w:rFonts w:ascii="Times New Roman" w:hAnsi="Times New Roman"/>
          <w:sz w:val="24"/>
          <w:szCs w:val="24"/>
        </w:rPr>
        <w:t xml:space="preserve"> присоединение, установленной в размере </w:t>
      </w:r>
      <w:r>
        <w:rPr>
          <w:rFonts w:ascii="Times New Roman" w:hAnsi="Times New Roman"/>
          <w:sz w:val="24"/>
          <w:szCs w:val="24"/>
        </w:rPr>
        <w:t xml:space="preserve">10</w:t>
      </w:r>
      <w:r>
        <w:rPr>
          <w:rFonts w:ascii="Times New Roman" w:hAnsi="Times New Roman" w:eastAsia="Times New Roman"/>
          <w:sz w:val="24"/>
          <w:szCs w:val="24"/>
        </w:rPr>
        <w:t xml:space="preserve"> процентов предварительного размера платы</w:t>
      </w:r>
      <w:r>
        <w:rPr>
          <w:rFonts w:ascii="Times New Roman" w:hAnsi="Times New Roman"/>
          <w:sz w:val="24"/>
          <w:szCs w:val="24"/>
        </w:rPr>
        <w:t xml:space="preserve"> за технологическое присоединение или в большем размере, если больший размер был согласован сторонами Договора, посредством заключен</w:t>
      </w:r>
      <w:r>
        <w:rPr>
          <w:rFonts w:ascii="Times New Roman" w:hAnsi="Times New Roman"/>
          <w:sz w:val="24"/>
          <w:szCs w:val="24"/>
        </w:rPr>
        <w:t xml:space="preserve">ия дополнительного соглашения к Договору о таком увеличении до дня истечения срока утверждения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w:t>
      </w:r>
      <w:r>
        <w:rPr>
          <w:rFonts w:ascii="Times New Roman" w:hAnsi="Times New Roman"/>
          <w:sz w:val="24"/>
          <w:szCs w:val="24"/>
        </w:rPr>
      </w:r>
      <w:r>
        <w:rPr>
          <w:rFonts w:ascii="Times New Roman" w:hAnsi="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Указанная часть платы за технологическое присоединение в размере увеличения подлежит внесению в течение 10 дней со дня заключения дополнительного соглашения к Договору о таком увеличении. </w:t>
      </w:r>
      <w:r>
        <w:rPr>
          <w:rFonts w:ascii="Times New Roman" w:hAnsi="Times New Roman"/>
          <w:sz w:val="24"/>
          <w:szCs w:val="24"/>
        </w:rPr>
      </w:r>
      <w:r>
        <w:rPr>
          <w:rFonts w:ascii="Times New Roman" w:hAnsi="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 случае согласования сторонами размера части платы за технологическое присоединение, превышающего </w:t>
      </w:r>
      <w:r>
        <w:rPr>
          <w:rFonts w:ascii="Times New Roman" w:hAnsi="Times New Roman"/>
          <w:sz w:val="24"/>
          <w:szCs w:val="24"/>
        </w:rPr>
        <w:t xml:space="preserve">10</w:t>
      </w:r>
      <w:r>
        <w:rPr>
          <w:rFonts w:ascii="Times New Roman" w:hAnsi="Times New Roman" w:eastAsia="Times New Roman"/>
          <w:sz w:val="24"/>
          <w:szCs w:val="24"/>
        </w:rPr>
        <w:t xml:space="preserve"> </w:t>
      </w:r>
      <w:r>
        <w:rPr>
          <w:rFonts w:ascii="Times New Roman" w:hAnsi="Times New Roman"/>
          <w:sz w:val="24"/>
          <w:szCs w:val="24"/>
        </w:rPr>
        <w:t xml:space="preserve">процентов предварительного размера платы за технологическое присоединение, а та</w:t>
      </w:r>
      <w:r>
        <w:rPr>
          <w:rFonts w:ascii="Times New Roman" w:hAnsi="Times New Roman"/>
          <w:sz w:val="24"/>
          <w:szCs w:val="24"/>
        </w:rPr>
        <w:t xml:space="preserve">кже в случае увеличения размера части платы за технологическое присоединение в соответствии с настоящим пунктом, стороны Договора до дня истечения предусмотренного срока утверждения уполномоченным органом исполнительной власти в области государственного ре</w:t>
      </w:r>
      <w:r>
        <w:rPr>
          <w:rFonts w:ascii="Times New Roman" w:hAnsi="Times New Roman"/>
          <w:sz w:val="24"/>
          <w:szCs w:val="24"/>
        </w:rPr>
        <w:t xml:space="preserve">гулирования тарифов платы за технологическое присоединение по индивидуальному проекту вправе согласовать график реализации сетевой организацией мероприятий, необходимых для осуществления технологического присоединения энергопринимающих устройств Заявителя.</w:t>
      </w:r>
      <w:r>
        <w:rPr>
          <w:rFonts w:ascii="Times New Roman" w:hAnsi="Times New Roman"/>
          <w:sz w:val="24"/>
          <w:szCs w:val="24"/>
        </w:rPr>
      </w:r>
      <w:r>
        <w:rPr>
          <w:rFonts w:ascii="Times New Roman" w:hAnsi="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eastAsia="Times New Roman"/>
          <w:sz w:val="24"/>
          <w:szCs w:val="24"/>
        </w:rPr>
      </w:pPr>
      <w:r>
        <w:rPr>
          <w:rFonts w:ascii="Times New Roman" w:hAnsi="Times New Roman" w:eastAsia="Times New Roman"/>
          <w:sz w:val="24"/>
          <w:szCs w:val="24"/>
        </w:rPr>
        <w:t xml:space="preserve">- окончательный размер платы, определяемый после заключения сторонами указанного в пункте 2.1.9 Договора дополнительного соглашения к Договору, за вычетом авансового платежа, предусмотренного абзацем 2 насто</w:t>
      </w:r>
      <w:r>
        <w:rPr>
          <w:rFonts w:ascii="Times New Roman" w:hAnsi="Times New Roman" w:eastAsia="Times New Roman"/>
          <w:sz w:val="24"/>
          <w:szCs w:val="24"/>
        </w:rPr>
        <w:t xml:space="preserve">ящего пункта Договора, вносится</w:t>
      </w:r>
      <w:r>
        <w:rPr>
          <w:rFonts w:ascii="Times New Roman" w:hAnsi="Times New Roman" w:eastAsia="Times New Roman"/>
          <w:sz w:val="24"/>
          <w:szCs w:val="24"/>
        </w:rPr>
        <w:t xml:space="preserve"> в следующем порядке:</w:t>
      </w:r>
      <w:r>
        <w:rPr>
          <w:rFonts w:ascii="Times New Roman" w:hAnsi="Times New Roman" w:eastAsia="Times New Roman"/>
          <w:sz w:val="24"/>
          <w:szCs w:val="24"/>
        </w:rPr>
      </w:r>
      <w:r>
        <w:rPr>
          <w:rFonts w:ascii="Times New Roman" w:hAnsi="Times New Roman" w:eastAsia="Times New Roman"/>
          <w:sz w:val="24"/>
          <w:szCs w:val="24"/>
        </w:rPr>
      </w:r>
    </w:p>
    <w:p>
      <w:pPr>
        <w:pStyle w:val="851"/>
        <w:widowControl w:val="off"/>
        <w:tabs>
          <w:tab w:val="left" w:pos="1418" w:leader="none"/>
        </w:tabs>
        <w:spacing w:after="0" w:line="240" w:lineRule="auto"/>
        <w:ind w:left="0" w:firstLine="567"/>
        <w:jc w:val="both"/>
        <w:rPr>
          <w:rFonts w:ascii="Times New Roman" w:hAnsi="Times New Roman"/>
          <w:sz w:val="24"/>
          <w:szCs w:val="24"/>
          <w:highlight w:val="white"/>
        </w:rPr>
      </w:pPr>
      <w:r>
        <w:rPr>
          <w:rFonts w:ascii="Times New Roman" w:hAnsi="Times New Roman" w:eastAsia="Times New Roman"/>
          <w:sz w:val="24"/>
          <w:szCs w:val="24"/>
          <w:highlight w:val="white"/>
        </w:rPr>
        <w:t xml:space="preserve">-</w:t>
      </w:r>
      <w:r>
        <w:rPr>
          <w:rFonts w:ascii="Times New Roman" w:hAnsi="Times New Roman"/>
          <w:sz w:val="24"/>
          <w:szCs w:val="24"/>
          <w:highlight w:val="white"/>
        </w:rPr>
        <w:t xml:space="preserve">30 процентов платы за технологическое присоединение вносятся в течение 10 дней со дня заключения дополнительного соглашения, предусмотренного пунктом 2.1.9. Договора;</w:t>
      </w:r>
      <w:r>
        <w:rPr>
          <w:rFonts w:ascii="Times New Roman" w:hAnsi="Times New Roman"/>
          <w:sz w:val="24"/>
          <w:szCs w:val="24"/>
          <w:highlight w:val="white"/>
        </w:rPr>
      </w:r>
      <w:r>
        <w:rPr>
          <w:rFonts w:ascii="Times New Roman" w:hAnsi="Times New Roman"/>
          <w:sz w:val="24"/>
          <w:szCs w:val="24"/>
          <w:highlight w:val="white"/>
        </w:rPr>
      </w:r>
    </w:p>
    <w:p>
      <w:pPr>
        <w:pStyle w:val="851"/>
        <w:widowControl w:val="off"/>
        <w:tabs>
          <w:tab w:val="left" w:pos="1418" w:leader="none"/>
        </w:tabs>
        <w:spacing w:after="0" w:line="240" w:lineRule="auto"/>
        <w:ind w:left="0" w:firstLine="567"/>
        <w:jc w:val="both"/>
        <w:rPr>
          <w:rFonts w:ascii="Times New Roman" w:hAnsi="Times New Roman"/>
          <w:sz w:val="24"/>
          <w:szCs w:val="24"/>
          <w:highlight w:val="white"/>
        </w:rPr>
      </w:pPr>
      <w:r>
        <w:rPr>
          <w:rFonts w:ascii="Times New Roman" w:hAnsi="Times New Roman"/>
          <w:sz w:val="24"/>
          <w:szCs w:val="24"/>
          <w:highlight w:val="white"/>
        </w:rPr>
        <w:t xml:space="preserve">-60 процентов платы за технологическое присоединение вносятся в течение 60 дней со дня заключения дополнительного соглашения, предусмотренного пунктом 2.1.9. Договора;</w:t>
      </w:r>
      <w:r>
        <w:rPr>
          <w:rFonts w:ascii="Times New Roman" w:hAnsi="Times New Roman"/>
          <w:sz w:val="24"/>
          <w:szCs w:val="24"/>
          <w:highlight w:val="white"/>
        </w:rPr>
      </w:r>
      <w:r>
        <w:rPr>
          <w:rFonts w:ascii="Times New Roman" w:hAnsi="Times New Roman"/>
          <w:sz w:val="24"/>
          <w:szCs w:val="24"/>
          <w:highlight w:val="white"/>
        </w:rPr>
      </w:r>
    </w:p>
    <w:p>
      <w:pPr>
        <w:pStyle w:val="851"/>
        <w:widowControl w:val="off"/>
        <w:tabs>
          <w:tab w:val="left" w:pos="1418"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sz w:val="24"/>
          <w:szCs w:val="24"/>
          <w:highlight w:val="white"/>
        </w:rPr>
        <w:t xml:space="preserve">-10 процентов платы за технологическое присоединение вносятся в течение 180 дней со дня заключения дополнительного соглашения, предусмотренного пунктом 2.1.9.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widowControl w:val="off"/>
        <w:tabs>
          <w:tab w:val="left" w:pos="1418"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t xml:space="preserve">В случае, если на момент заключения сторонами указанного в пункте 2.1.8 Договора дополнительного соглашения к Договору сумма внесенных Заявителем по Договор</w:t>
      </w:r>
      <w:r>
        <w:rPr>
          <w:rFonts w:ascii="Times New Roman" w:hAnsi="Times New Roman" w:eastAsia="Times New Roman"/>
          <w:sz w:val="24"/>
          <w:szCs w:val="24"/>
          <w:highlight w:val="white"/>
        </w:rPr>
        <w:t xml:space="preserve">у платежей будет превышать размер платы за технологическое присоединение, утвержденный дополнительным соглашением, Сетевая организация возвращает образовавшуюся разницу Заявителю, в течение 30 (тридцати) дней с момента заключения дополнительного соглашения</w:t>
      </w:r>
      <w:r>
        <w:rPr>
          <w:rFonts w:ascii="Times New Roman" w:hAnsi="Times New Roman" w:eastAsia="Times New Roman"/>
          <w:sz w:val="24"/>
          <w:szCs w:val="24"/>
          <w:highlight w:val="white"/>
          <w:lang w:eastAsia="ru-RU"/>
        </w:rPr>
        <w:t xml:space="preserve">, если иной срок не предусмотрен условиями вышеуказанного дополнительного соглашения</w:t>
      </w:r>
      <w:r>
        <w:rPr>
          <w:rFonts w:ascii="Times New Roman" w:hAnsi="Times New Roman" w:eastAsia="Times New Roman"/>
          <w:sz w:val="24"/>
          <w:szCs w:val="24"/>
          <w:highlight w:val="white"/>
        </w:rPr>
        <w:t xml:space="preserve">.</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если на момент заключения сторонами указанного в п. 2.1.8 Договора дополнительного соглашения к Договору сумма внесенных Заявителем по Договору платежей окажется меньше размера платы за технологическое присоединение, утвержденног</w:t>
      </w:r>
      <w:r>
        <w:rPr>
          <w:rFonts w:ascii="Times New Roman" w:hAnsi="Times New Roman" w:eastAsia="Times New Roman"/>
          <w:sz w:val="24"/>
          <w:szCs w:val="24"/>
          <w:highlight w:val="white"/>
          <w:lang w:eastAsia="ru-RU"/>
        </w:rPr>
        <w:t xml:space="preserve">о дополнительным соглашением, Заявитель доплачивает образовавшуюся разницу Сетевой организации в течение 30 (тридцати) дней с момента заключения дополнительного соглашения, если иной срок не предусмотрен условиями вышеуказанного дополнительного соглашения.</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widowControl w:val="off"/>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Оплата </w:t>
      </w:r>
      <w:r>
        <w:rPr>
          <w:rFonts w:ascii="Times New Roman" w:hAnsi="Times New Roman" w:eastAsia="Times New Roman"/>
          <w:sz w:val="24"/>
          <w:szCs w:val="24"/>
          <w:highlight w:val="white"/>
        </w:rPr>
        <w:t xml:space="preserve">по</w:t>
      </w:r>
      <w:r>
        <w:rPr>
          <w:rFonts w:ascii="Times New Roman" w:hAnsi="Times New Roman" w:eastAsia="Times New Roman"/>
          <w:sz w:val="24"/>
          <w:szCs w:val="24"/>
          <w:highlight w:val="white"/>
          <w:lang w:eastAsia="ru-RU"/>
        </w:rPr>
        <w:t xml:space="preserve"> пункту 3.2 Договора не зависит от стадии выполнения сторонами Технических условий.</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widowControl w:val="off"/>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Оплата </w:t>
      </w:r>
      <w:r>
        <w:rPr>
          <w:rFonts w:ascii="Times New Roman" w:hAnsi="Times New Roman" w:eastAsia="Times New Roman"/>
          <w:sz w:val="24"/>
          <w:szCs w:val="24"/>
          <w:highlight w:val="white"/>
        </w:rPr>
        <w:t xml:space="preserve">производится</w:t>
      </w:r>
      <w:r>
        <w:rPr>
          <w:rFonts w:ascii="Times New Roman" w:hAnsi="Times New Roman" w:eastAsia="Times New Roman"/>
          <w:sz w:val="24"/>
          <w:szCs w:val="24"/>
          <w:highlight w:val="white"/>
          <w:lang w:eastAsia="ru-RU"/>
        </w:rPr>
        <w:t xml:space="preserve"> путем перечисления Заявителем денежных средств на расчетный счет Сетевой организации, указанный в разделе 8 Договора. Датой исполнения Заявителем обязательств по оплате является дата зачисления денежных средств на расчетный счет Сетевой организации.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widowControl w:val="off"/>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Ранее полученные платежи засчитывают</w:t>
      </w:r>
      <w:r>
        <w:rPr>
          <w:rFonts w:ascii="Times New Roman" w:hAnsi="Times New Roman" w:eastAsia="Times New Roman"/>
          <w:sz w:val="24"/>
          <w:szCs w:val="24"/>
          <w:highlight w:val="white"/>
          <w:lang w:eastAsia="ru-RU"/>
        </w:rPr>
        <w:t xml:space="preserve">ся (в порядке их поступления) в счет погашения задолженности за оказанные услуги на дату подписания первичной учётной документации в сумме оказанных услуг или на сумму полученного платежа в случае, если сумма платежа составляет менее суммы оказанных услуг.</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tabs>
          <w:tab w:val="left" w:pos="567" w:leader="none"/>
        </w:tabs>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0"/>
        </w:numPr>
        <w:tabs>
          <w:tab w:val="left" w:pos="567" w:leader="none"/>
        </w:tabs>
        <w:spacing w:after="0" w:line="240" w:lineRule="auto"/>
        <w:ind w:left="0"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Ответственность Сторон</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tabs>
          <w:tab w:val="left" w:pos="567" w:leader="none"/>
        </w:tabs>
        <w:spacing w:after="0" w:line="240" w:lineRule="auto"/>
        <w:ind w:firstLine="567"/>
        <w:contextualSpacing/>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sz w:val="24"/>
          <w:szCs w:val="24"/>
          <w:highlight w:val="white"/>
        </w:rPr>
      </w:pPr>
      <w:r>
        <w:rPr>
          <w:rFonts w:ascii="Times New Roman" w:hAnsi="Times New Roman"/>
          <w:sz w:val="24"/>
          <w:szCs w:val="24"/>
          <w:highlight w:val="white"/>
          <w:lang w:eastAsia="ru-RU"/>
        </w:rPr>
        <w:t xml:space="preserve">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w:t>
      </w:r>
      <w:r>
        <w:rPr>
          <w:rFonts w:ascii="Times New Roman" w:hAnsi="Times New Roman"/>
          <w:sz w:val="24"/>
          <w:szCs w:val="24"/>
          <w:highlight w:val="white"/>
        </w:rPr>
      </w:r>
      <w:r>
        <w:rPr>
          <w:rFonts w:ascii="Times New Roman" w:hAnsi="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w:t>
      </w:r>
      <w:r>
        <w:rPr>
          <w:rFonts w:ascii="Times New Roman" w:hAnsi="Times New Roman" w:eastAsia="Times New Roman"/>
          <w:sz w:val="24"/>
          <w:szCs w:val="24"/>
          <w:highlight w:val="white"/>
          <w:shd w:val="clear" w:color="auto" w:fill="ffffff"/>
          <w:lang w:eastAsia="ru-RU"/>
        </w:rPr>
        <w:t xml:space="preserve">0,25</w:t>
      </w:r>
      <w:r>
        <w:rPr>
          <w:rFonts w:ascii="Times New Roman" w:hAnsi="Times New Roman" w:eastAsia="Times New Roman"/>
          <w:sz w:val="24"/>
          <w:szCs w:val="24"/>
          <w:highlight w:val="white"/>
          <w:lang w:eastAsia="ru-RU"/>
        </w:rPr>
        <w:t xml:space="preserve"> процента от указанного в пункте 3.2. Договора общего размера платы за каждый день </w:t>
      </w:r>
      <w:r>
        <w:rPr>
          <w:rFonts w:ascii="Times New Roman" w:hAnsi="Times New Roman" w:eastAsia="Times New Roman"/>
          <w:sz w:val="24"/>
          <w:szCs w:val="24"/>
          <w:highlight w:val="white"/>
          <w:lang w:eastAsia="ru-RU"/>
        </w:rPr>
        <w:t xml:space="preserve">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Заявитель при нарушении сроков оплаты любого платежа за технологическое присоединение (пункт 3.1. или пункт 3.2 Договора) обязан уплатить Сетевой организации неустойку, равную 0,25 процента от суммы просроченного платежа за каждый день просрочки. </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Стороны</w:t>
      </w:r>
      <w:r>
        <w:rPr>
          <w:rFonts w:ascii="Times New Roman" w:hAnsi="Times New Roman"/>
          <w:sz w:val="24"/>
          <w:szCs w:val="24"/>
          <w:highlight w:val="white"/>
          <w:lang w:eastAsia="ru-RU"/>
        </w:rPr>
        <w:t xml:space="preserve"> освобождаются от ответственности за полное или частичное невыполнение обязательств по настоящему Договору, если это невыполнение было вызвано обстоятельствами непреодолимой силы, т.е. чрезвычайными и непредот</w:t>
      </w:r>
      <w:r>
        <w:rPr>
          <w:rFonts w:ascii="Times New Roman" w:hAnsi="Times New Roman"/>
          <w:sz w:val="24"/>
          <w:szCs w:val="24"/>
          <w:highlight w:val="white"/>
          <w:lang w:eastAsia="ru-RU"/>
        </w:rPr>
        <w:t xml:space="preserve">вратимыми при данных условиях обстоятельствами, возникшими после вступления в силу Договора. В этих случаях сроки выполнения Сторонами обязательств по Договору отодвигаются соразмерно времени, в течение которого действуют обстоятельства непреодолимой силы.</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sz w:val="24"/>
          <w:szCs w:val="24"/>
          <w:highlight w:val="white"/>
          <w:lang w:eastAsia="ru-RU"/>
        </w:rPr>
        <w:t xml:space="preserve">Сторона, для которой наступила невозможность выполнения обязательств в результате действия обстоятельств непреодолимой силы, обя</w:t>
      </w:r>
      <w:r>
        <w:rPr>
          <w:rFonts w:ascii="Times New Roman" w:hAnsi="Times New Roman"/>
          <w:sz w:val="24"/>
          <w:szCs w:val="24"/>
          <w:highlight w:val="white"/>
          <w:lang w:eastAsia="ru-RU"/>
        </w:rPr>
        <w:t xml:space="preserve">зана в письменной форме известить другую Сторону в срок не позднее 5 (пяти) дней со дня наступления непредвиденных обстоятельств с последующим представлением документов, подтверждающих их наступление. В противном случае она не вправе ссылаться на действия </w:t>
      </w:r>
      <w:r>
        <w:rPr>
          <w:rFonts w:ascii="Times New Roman" w:hAnsi="Times New Roman" w:eastAsia="Times New Roman"/>
          <w:sz w:val="24"/>
          <w:szCs w:val="24"/>
          <w:highlight w:val="white"/>
          <w:lang w:eastAsia="ru-RU"/>
        </w:rPr>
        <w:t xml:space="preserve">обстоятельств непреодолимой силы как на основание, освобождающее Сторону от ответственности.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Стороны определили, что для целей возмещения Заявителем</w:t>
      </w:r>
      <w:r>
        <w:rPr>
          <w:rFonts w:ascii="Times New Roman" w:hAnsi="Times New Roman" w:eastAsia="Times New Roman"/>
          <w:sz w:val="24"/>
          <w:szCs w:val="24"/>
          <w:highlight w:val="white"/>
          <w:lang w:eastAsia="ru-RU"/>
        </w:rPr>
        <w:t xml:space="preserve"> фактически понесенных Сетевой организацией расходов их размер рассчитывается Сетевой организацией в одностороннем порядке исходя из затрат, понесенных Сетевой организацией на выполнение мероприятий, предусмотренных Техническими условиями, в том числе факт</w:t>
      </w:r>
      <w:r>
        <w:rPr>
          <w:rFonts w:ascii="Times New Roman" w:hAnsi="Times New Roman" w:eastAsia="Times New Roman"/>
          <w:sz w:val="24"/>
          <w:szCs w:val="24"/>
          <w:highlight w:val="white"/>
          <w:lang w:eastAsia="ru-RU"/>
        </w:rPr>
        <w:t xml:space="preserve">ические понесенные расходы, связанные с подготовкой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w:t>
      </w:r>
      <w:r>
        <w:rPr>
          <w:rFonts w:ascii="Times New Roman" w:hAnsi="Times New Roman" w:eastAsia="Times New Roman"/>
          <w:sz w:val="24"/>
          <w:szCs w:val="24"/>
          <w:highlight w:val="white"/>
          <w:lang w:eastAsia="ru-RU"/>
        </w:rPr>
        <w:t xml:space="preserve">рифов об установлении платы за технологическое присоединение по индивидуальному проекту, с уменьшением таких фактических расходов на размер авансового платежа, предусмотренного пунктом 3.2. Договора (в случае если авансовый платеж был выплачен Заявителем).</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отказа от исполнения обязательств по настоящему Договору </w:t>
      </w:r>
      <w:r>
        <w:rPr>
          <w:rFonts w:ascii="Times New Roman" w:hAnsi="Times New Roman" w:eastAsia="Times New Roman"/>
          <w:sz w:val="24"/>
          <w:szCs w:val="24"/>
          <w:lang w:eastAsia="ru-RU"/>
        </w:rPr>
        <w:t xml:space="preserve">до  момента </w:t>
      </w:r>
      <w:r>
        <w:rPr>
          <w:rFonts w:ascii="Times New Roman" w:hAnsi="Times New Roman" w:eastAsia="Times New Roman"/>
          <w:sz w:val="24"/>
          <w:szCs w:val="24"/>
          <w:highlight w:val="white"/>
          <w:lang w:eastAsia="ru-RU"/>
        </w:rPr>
        <w:t xml:space="preserve">принятия уполномоченным органом исполнительной власти в области государственного регулирования тарифов решения об установлении платы за технологическо</w:t>
      </w:r>
      <w:r>
        <w:rPr>
          <w:rFonts w:ascii="Times New Roman" w:hAnsi="Times New Roman" w:eastAsia="Times New Roman"/>
          <w:sz w:val="24"/>
          <w:szCs w:val="24"/>
          <w:highlight w:val="white"/>
          <w:lang w:eastAsia="ru-RU"/>
        </w:rPr>
        <w:t xml:space="preserve">е присоединение по индивидуальному проекту Заявитель обязуется  компенсировать фактически понесенные Сетевой организацией расходы, связанные с исполнением Договора, в том числе фактически понесенные расходы, связанные с подготовкой Технических условий, раз</w:t>
      </w:r>
      <w:r>
        <w:rPr>
          <w:rFonts w:ascii="Times New Roman" w:hAnsi="Times New Roman" w:eastAsia="Times New Roman"/>
          <w:sz w:val="24"/>
          <w:szCs w:val="24"/>
          <w:highlight w:val="white"/>
          <w:lang w:eastAsia="ru-RU"/>
        </w:rPr>
        <w:t xml:space="preserve">работкой проектной документации и оформлением прав на земельные участки, необходимые для разработки указанной проектной документации, в полном размере  при условии предоставления Заявителю документов, подтверждающих такие расходы (заверенные копии первичны</w:t>
      </w:r>
      <w:r>
        <w:rPr>
          <w:rFonts w:ascii="Times New Roman" w:hAnsi="Times New Roman" w:eastAsia="Times New Roman"/>
          <w:sz w:val="24"/>
          <w:szCs w:val="24"/>
          <w:highlight w:val="white"/>
          <w:lang w:eastAsia="ru-RU"/>
        </w:rPr>
        <w:t xml:space="preserve">х учетных документов - договоры, платежные документы, акты и другие документы) с уменьшением (зачетом) таких фактических расходов на размер авансового платежа, предусмотренного пунктом 3.2. Договора (в случае если авансовый платеж был выплачен Заявителем).</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Неисполнение или нарушение сроков исполнени</w:t>
      </w:r>
      <w:r>
        <w:rPr>
          <w:rFonts w:ascii="Times New Roman" w:hAnsi="Times New Roman" w:eastAsia="Times New Roman"/>
          <w:sz w:val="24"/>
          <w:szCs w:val="24"/>
          <w:highlight w:val="white"/>
          <w:lang w:eastAsia="ru-RU"/>
        </w:rPr>
        <w:t xml:space="preserve">я Заявителем мероприятий по технологическому присоединению, предусмотренных Техническими условиями, освобождает Сетевую организацию от ответственности за нарушение срока фактического присоединения энергопринимающих устройств Заявителя к электрической сети.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851"/>
        <w:numPr>
          <w:numId w:val="3"/>
          <w:ilvl w:val="1"/>
        </w:numPr>
        <w:tabs>
          <w:tab w:val="left" w:pos="567" w:leader="none"/>
        </w:tabs>
        <w:spacing w:after="0" w:line="240" w:lineRule="auto"/>
        <w:ind w:left="0" w:firstLine="567"/>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нарушения Заявителем сроков оплаты, предусмотренных разделом 3 Договора, а также невыполнения мероприятий, предусмотренных Техниче</w:t>
      </w:r>
      <w:r>
        <w:rPr>
          <w:rFonts w:ascii="Times New Roman" w:hAnsi="Times New Roman" w:eastAsia="Times New Roman"/>
          <w:sz w:val="24"/>
          <w:szCs w:val="24"/>
          <w:highlight w:val="white"/>
          <w:lang w:eastAsia="ru-RU"/>
        </w:rPr>
        <w:t xml:space="preserve">скими условиями, Сетевая организация имеет право требовать расторжения Договора и компенсации фактически понесенных расходов. При несогласии Заявителя с указанным требованием спор подлежит разрешению в судебном порядке в соответствии с разделом 5 Договора.</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3"/>
          <w:ilvl w:val="0"/>
        </w:numPr>
        <w:spacing w:after="0" w:line="240" w:lineRule="auto"/>
        <w:ind w:left="0"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Разрешение споров</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spacing w:after="0" w:line="240" w:lineRule="auto"/>
        <w:ind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5"/>
          <w:ilvl w:val="1"/>
        </w:numPr>
        <w:tabs>
          <w:tab w:val="left" w:pos="709" w:leader="none"/>
        </w:tabs>
        <w:spacing w:after="0" w:line="240" w:lineRule="auto"/>
        <w:ind w:left="0" w:firstLine="567"/>
        <w:contextualSpacing/>
        <w:jc w:val="both"/>
        <w:rPr>
          <w:rFonts w:ascii="Times New Roman" w:hAnsi="Times New Roman" w:eastAsia="Times New Roman"/>
          <w:bCs/>
          <w:sz w:val="24"/>
          <w:szCs w:val="24"/>
          <w:highlight w:val="white"/>
        </w:rPr>
      </w:pPr>
      <w:r>
        <w:rPr>
          <w:rFonts w:ascii="Times New Roman" w:hAnsi="Times New Roman" w:eastAsia="Times New Roman"/>
          <w:bCs/>
          <w:sz w:val="24"/>
          <w:szCs w:val="24"/>
          <w:highlight w:val="white"/>
          <w:lang w:eastAsia="ru-RU"/>
        </w:rPr>
        <w:t xml:space="preserve">Все споры, разногласия и требования, возникающие из настоящего Договора или в связи с ним, в том чи</w:t>
      </w:r>
      <w:r>
        <w:rPr>
          <w:rFonts w:ascii="Times New Roman" w:hAnsi="Times New Roman" w:eastAsia="Times New Roman"/>
          <w:bCs/>
          <w:sz w:val="24"/>
          <w:szCs w:val="24"/>
          <w:highlight w:val="white"/>
          <w:lang w:eastAsia="ru-RU"/>
        </w:rPr>
        <w:t xml:space="preserve">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 а при недостижении согласия – подлежат разрешению в Арбитражном суде Калининградской области.</w:t>
      </w:r>
      <w:r>
        <w:rPr>
          <w:rFonts w:ascii="Times New Roman" w:hAnsi="Times New Roman" w:eastAsia="Times New Roman"/>
          <w:bCs/>
          <w:sz w:val="24"/>
          <w:szCs w:val="24"/>
          <w:highlight w:val="white"/>
        </w:rPr>
      </w:r>
      <w:r>
        <w:rPr>
          <w:rFonts w:ascii="Times New Roman" w:hAnsi="Times New Roman" w:eastAsia="Times New Roman"/>
          <w:bCs/>
          <w:sz w:val="24"/>
          <w:szCs w:val="24"/>
          <w:highlight w:val="white"/>
        </w:rPr>
      </w:r>
    </w:p>
    <w:p>
      <w:pPr>
        <w:pStyle w:val="673"/>
        <w:tabs>
          <w:tab w:val="left" w:pos="709" w:leader="none"/>
        </w:tabs>
        <w:spacing w:after="0" w:line="240" w:lineRule="auto"/>
        <w:ind w:firstLine="567"/>
        <w:contextualSpacing/>
        <w:jc w:val="both"/>
        <w:rPr>
          <w:rFonts w:ascii="Times New Roman" w:hAnsi="Times New Roman" w:eastAsia="Times New Roman"/>
          <w:bCs/>
          <w:sz w:val="24"/>
          <w:szCs w:val="24"/>
          <w:highlight w:val="white"/>
        </w:rPr>
      </w:pPr>
      <w:r>
        <w:rPr>
          <w:rFonts w:ascii="Times New Roman" w:hAnsi="Times New Roman" w:eastAsia="Times New Roman"/>
          <w:bCs/>
          <w:sz w:val="24"/>
          <w:szCs w:val="24"/>
          <w:highlight w:val="white"/>
        </w:rPr>
      </w:r>
      <w:r>
        <w:rPr>
          <w:rFonts w:ascii="Times New Roman" w:hAnsi="Times New Roman" w:eastAsia="Times New Roman"/>
          <w:bCs/>
          <w:sz w:val="24"/>
          <w:szCs w:val="24"/>
          <w:highlight w:val="white"/>
        </w:rPr>
      </w:r>
    </w:p>
    <w:p>
      <w:pPr>
        <w:pStyle w:val="673"/>
        <w:widowControl w:val="off"/>
        <w:numPr>
          <w:numId w:val="3"/>
          <w:ilvl w:val="0"/>
        </w:numPr>
        <w:tabs>
          <w:tab w:val="left" w:pos="709" w:leader="none"/>
        </w:tabs>
        <w:spacing w:after="0" w:line="240" w:lineRule="auto"/>
        <w:ind w:left="0" w:firstLine="567"/>
        <w:contextualSpacing/>
        <w:jc w:val="center"/>
        <w:rPr>
          <w:rFonts w:ascii="Times New Roman" w:hAnsi="Times New Roman" w:eastAsia="Times New Roman"/>
          <w:b/>
          <w:sz w:val="24"/>
          <w:szCs w:val="24"/>
          <w:highlight w:val="white"/>
        </w:rPr>
      </w:pPr>
      <w:r>
        <w:rPr>
          <w:rFonts w:ascii="Times New Roman" w:hAnsi="Times New Roman" w:eastAsia="Times New Roman"/>
          <w:b/>
          <w:sz w:val="24"/>
          <w:szCs w:val="24"/>
          <w:highlight w:val="white"/>
          <w:lang w:eastAsia="ru-RU"/>
        </w:rPr>
        <w:t xml:space="preserve">Заключительные положения</w:t>
      </w:r>
      <w:r>
        <w:rPr>
          <w:rFonts w:ascii="Times New Roman" w:hAnsi="Times New Roman" w:eastAsia="Times New Roman"/>
          <w:b/>
          <w:sz w:val="24"/>
          <w:szCs w:val="24"/>
          <w:highlight w:val="white"/>
        </w:rPr>
      </w:r>
      <w:r>
        <w:rPr>
          <w:rFonts w:ascii="Times New Roman" w:hAnsi="Times New Roman" w:eastAsia="Times New Roman"/>
          <w:b/>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 случае одностороннего отказа Заявителя от </w:t>
      </w:r>
      <w:r>
        <w:rPr>
          <w:rFonts w:ascii="Times New Roman" w:hAnsi="Times New Roman" w:eastAsia="Times New Roman"/>
          <w:sz w:val="24"/>
          <w:szCs w:val="24"/>
          <w:highlight w:val="white"/>
          <w:lang w:eastAsia="ru-RU"/>
        </w:rPr>
        <w:t xml:space="preserve">Договора в соответствии с пунктом 2.4.2 или расторжения Договора в судебном или внесудебном порядке Заявитель обязуется возместить Сетевой организации расходы, связанные с исполнением Договора, включая, но не ограничиваясь расходами на подготовку и выдачу </w:t>
      </w:r>
      <w:r>
        <w:rPr>
          <w:rFonts w:ascii="Times New Roman" w:hAnsi="Times New Roman"/>
          <w:sz w:val="24"/>
          <w:szCs w:val="24"/>
          <w:highlight w:val="white"/>
          <w:lang w:eastAsia="ru-RU"/>
        </w:rPr>
        <w:t xml:space="preserve">Технических условий</w:t>
      </w:r>
      <w:r>
        <w:rPr>
          <w:rFonts w:ascii="Times New Roman" w:hAnsi="Times New Roman" w:eastAsia="Times New Roman"/>
          <w:sz w:val="24"/>
          <w:szCs w:val="24"/>
          <w:highlight w:val="white"/>
          <w:lang w:eastAsia="ru-RU"/>
        </w:rPr>
        <w:t xml:space="preserve">.</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Обмен между сторонами документами (проектами документов), соста</w:t>
      </w:r>
      <w:r>
        <w:rPr>
          <w:rFonts w:ascii="Times New Roman" w:hAnsi="Times New Roman" w:eastAsia="Times New Roman"/>
          <w:sz w:val="24"/>
          <w:szCs w:val="24"/>
          <w:highlight w:val="white"/>
          <w:lang w:eastAsia="ru-RU"/>
        </w:rPr>
        <w:t xml:space="preserve">вляемыми в процессе исполнения, изменения, прекращения Договора, осуществляется путем их направления адресату заказным письмом с уведомлением о вручении или иным способом, подтверждающим отправку и получение адресатом такого документа (проекта документа). </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При исполнении Договора Стороны могут использовать документооборот с применением электронной подписи (ЭП) в соответствии с законодательством Российской Федерации.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Стороны обязую</w:t>
      </w:r>
      <w:r>
        <w:rPr>
          <w:rFonts w:ascii="Times New Roman" w:hAnsi="Times New Roman" w:eastAsia="Times New Roman"/>
          <w:sz w:val="24"/>
          <w:szCs w:val="24"/>
          <w:highlight w:val="white"/>
          <w:lang w:eastAsia="ru-RU"/>
        </w:rPr>
        <w:t xml:space="preserve">тся в течение 5 (пяти) рабочих дней с даты изменения реквизитов, указанных разделе 8 Договора, уведомить друг друга о произошедших изменениях. Стороны освобождаются от ответственности за последствия, возникшие вследствие неисполнения указанной обязанности.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При исполнении Договора стороны обязуются соблюдать положения законодательства о государственной и (или) коммерческой тайне, в том числе, но не исключительно, положения Закона Российской Федерации от 21.07.1993 № 5485-1 «О государственной тайне».</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Настоящий Договор вступает в силу с момента его заключения и действует до окончания исполнения Сторонами обязательств. Договор считаетс</w:t>
      </w:r>
      <w:r>
        <w:rPr>
          <w:rFonts w:ascii="Times New Roman" w:hAnsi="Times New Roman" w:eastAsia="Times New Roman"/>
          <w:sz w:val="24"/>
          <w:szCs w:val="24"/>
          <w:highlight w:val="white"/>
          <w:lang w:eastAsia="ru-RU"/>
        </w:rPr>
        <w:t xml:space="preserve">я заключенным с даты поступления подписанного Заявителем без разногласий экземпляра Договора в Сетевую организацию (при наличии разногласий – с даты их урегулирования). Все приложения и дополнительные соглашения к Договору являются его неотъемлемой частью.</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Все изменения и дополнения к настоящему Договору производятся на основании соглашения Сторон и действительны, если они оформлены в письменном виде и подписаны уполномоченными представителями Сторон.</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numPr>
          <w:numId w:val="6"/>
          <w:ilvl w:val="1"/>
        </w:numPr>
        <w:tabs>
          <w:tab w:val="left" w:pos="709" w:leader="none"/>
        </w:tabs>
        <w:spacing w:after="0" w:line="240" w:lineRule="auto"/>
        <w:ind w:left="0" w:firstLine="567"/>
        <w:contextualSpacing/>
        <w:jc w:val="both"/>
        <w:rPr>
          <w:rFonts w:ascii="Times New Roman" w:hAnsi="Times New Roman" w:eastAsia="Times New Roman"/>
          <w:sz w:val="24"/>
          <w:szCs w:val="24"/>
          <w:highlight w:val="white"/>
        </w:rPr>
      </w:pPr>
      <w:r>
        <w:rPr>
          <w:rFonts w:ascii="Times New Roman" w:hAnsi="Times New Roman" w:eastAsia="Times New Roman"/>
          <w:sz w:val="24"/>
          <w:szCs w:val="24"/>
          <w:highlight w:val="white"/>
          <w:lang w:eastAsia="ru-RU"/>
        </w:rPr>
        <w:t xml:space="preserve">Настоящий Договор составлен в двух экземплярах, имеющих равную юридическую силу.</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pStyle w:val="673"/>
        <w:widowControl w:val="off"/>
        <w:spacing w:after="0" w:line="240" w:lineRule="auto"/>
        <w:ind w:firstLine="567"/>
        <w:contextualSpacing/>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673"/>
        <w:widowControl w:val="off"/>
        <w:numPr>
          <w:numId w:val="3"/>
          <w:ilvl w:val="0"/>
        </w:numPr>
        <w:spacing w:after="0" w:line="240" w:lineRule="auto"/>
        <w:ind w:left="0" w:firstLine="0"/>
        <w:contextualSpacing/>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Перечень приложений к Договору</w:t>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p>
      <w:pPr>
        <w:pStyle w:val="673"/>
        <w:widowControl w:val="off"/>
        <w:spacing w:after="0" w:line="240" w:lineRule="auto"/>
        <w:contextualSpacing/>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tbl>
      <w:tblPr>
        <w:tblW w:w="0" w:type="auto"/>
        <w:tblInd w:w="-176" w:type="dxa"/>
        <w:tblLayout w:type="autofit"/>
        <w:tblCellMar>
          <w:left w:w="108" w:type="dxa"/>
          <w:top w:w="0" w:type="dxa"/>
          <w:right w:w="108" w:type="dxa"/>
          <w:bottom w:w="0" w:type="dxa"/>
        </w:tblCellMar>
        <w:tblLook w:val="04A0" w:firstRow="1" w:lastRow="0" w:firstColumn="1" w:lastColumn="0" w:noHBand="0" w:noVBand="1"/>
      </w:tblPr>
      <w:tblGrid>
        <w:gridCol w:w="2345"/>
        <w:gridCol w:w="293"/>
        <w:gridCol w:w="6893"/>
      </w:tblGrid>
      <w:tr>
        <w:trPr/>
        <w:tblPrEx/>
        <w:tc>
          <w:tcPr>
            <w:tcW w:w="2345"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Приложение 1</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293"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893"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Технические условия.</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rPr>
          <w:trHeight w:val="887"/>
        </w:trPr>
        <w:tblPrEx/>
        <w:tc>
          <w:tcPr>
            <w:tcW w:w="2345"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Приложение 2</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293"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893" w:type="dxa"/>
            <w:tcBorders>
              <w:top w:val="none" w:color="000000" w:sz="0" w:space="0"/>
              <w:left w:val="none" w:color="000000" w:sz="0" w:space="0"/>
              <w:bottom w:val="none" w:color="000000" w:sz="0" w:space="0"/>
              <w:right w:val="none" w:color="000000" w:sz="0" w:space="0"/>
            </w:tcBorders>
            <w:noWrap w:val="false"/>
            <w:textDirection w:val="lrTb"/>
            <w:vAlign w:val="top"/>
          </w:tcPr>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Расчет предварительного размера платы за технологическое присоединение.</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673"/>
              <w:widowControl w:val="off"/>
              <w:spacing w:after="0" w:line="240" w:lineRule="auto"/>
              <w:contextualSpacing/>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bl>
    <w:p>
      <w:pPr>
        <w:pStyle w:val="673"/>
        <w:widowControl w:val="off"/>
        <w:numPr>
          <w:numId w:val="3"/>
          <w:ilvl w:val="0"/>
        </w:numPr>
        <w:spacing w:after="0" w:line="240" w:lineRule="auto"/>
        <w:ind w:left="0" w:firstLine="0"/>
        <w:contextualSpacing/>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Реквизиты Сторон</w:t>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p>
      <w:pPr>
        <w:pStyle w:val="673"/>
        <w:spacing w:after="0" w:line="240" w:lineRule="auto"/>
        <w:jc w:val="both"/>
        <w:rPr>
          <w:rFonts w:ascii="Times New Roman" w:hAnsi="Times New Roman"/>
          <w:sz w:val="26"/>
          <w:szCs w:val="26"/>
        </w:rPr>
        <w:sectPr>
          <w:footnotePr/>
          <w:endnotePr/>
          <w:type w:val="nextPage"/>
          <w:pgSz w:w="11906" w:h="16838" w:orient="portrait"/>
          <w:pgMar w:top="1134" w:right="707" w:bottom="1134" w:left="1134" w:header="708" w:footer="708" w:gutter="0"/>
          <w:cols w:num="1" w:sep="0" w:space="708" w:equalWidth="1"/>
          <w:docGrid w:linePitch="360"/>
        </w:sectPr>
      </w:pPr>
      <w:r>
        <w:rPr>
          <w:rFonts w:ascii="Times New Roman" w:hAnsi="Times New Roman"/>
          <w:sz w:val="26"/>
          <w:szCs w:val="26"/>
        </w:rPr>
      </w:r>
      <w:r>
        <w:rPr>
          <w:rFonts w:ascii="Times New Roman" w:hAnsi="Times New Roman"/>
          <w:sz w:val="26"/>
          <w:szCs w:val="26"/>
        </w:rPr>
      </w:r>
    </w:p>
    <w:p>
      <w:pPr>
        <w:pStyle w:val="695"/>
        <w:jc w:val="right"/>
        <w:rPr>
          <w:rFonts w:ascii="Times New Roman" w:hAnsi="Times New Roman"/>
          <w:b/>
          <w:sz w:val="18"/>
          <w:szCs w:val="18"/>
        </w:rPr>
      </w:pPr>
      <w:r>
        <w:rPr>
          <w:rFonts w:ascii="Times New Roman" w:hAnsi="Times New Roman"/>
          <w:sz w:val="18"/>
          <w:szCs w:val="18"/>
        </w:rPr>
        <w:t xml:space="preserve">Приложение № </w:t>
      </w:r>
      <w:r>
        <w:rPr>
          <w:rFonts w:ascii="Times New Roman" w:hAnsi="Times New Roman"/>
          <w:sz w:val="18"/>
          <w:szCs w:val="18"/>
        </w:rPr>
        <w:t xml:space="preserve">2</w:t>
      </w:r>
      <w:r>
        <w:rPr>
          <w:rFonts w:ascii="Times New Roman" w:hAnsi="Times New Roman"/>
          <w:b/>
          <w:sz w:val="18"/>
          <w:szCs w:val="18"/>
        </w:rPr>
      </w:r>
      <w:r>
        <w:rPr>
          <w:rFonts w:ascii="Times New Roman" w:hAnsi="Times New Roman"/>
          <w:b/>
          <w:sz w:val="18"/>
          <w:szCs w:val="18"/>
        </w:rPr>
      </w:r>
    </w:p>
    <w:p>
      <w:pPr>
        <w:pStyle w:val="695"/>
        <w:jc w:val="right"/>
        <w:rPr>
          <w:rFonts w:ascii="Times New Roman" w:hAnsi="Times New Roman"/>
          <w:b/>
          <w:sz w:val="18"/>
          <w:szCs w:val="18"/>
        </w:rPr>
      </w:pPr>
      <w:r>
        <w:rPr>
          <w:rFonts w:ascii="Times New Roman" w:hAnsi="Times New Roman"/>
          <w:sz w:val="18"/>
          <w:szCs w:val="18"/>
        </w:rPr>
        <w:t xml:space="preserve">к договору об осуществлении</w:t>
      </w:r>
      <w:r>
        <w:rPr>
          <w:rFonts w:ascii="Times New Roman" w:hAnsi="Times New Roman"/>
          <w:b/>
          <w:sz w:val="18"/>
          <w:szCs w:val="18"/>
        </w:rPr>
      </w:r>
      <w:r>
        <w:rPr>
          <w:rFonts w:ascii="Times New Roman" w:hAnsi="Times New Roman"/>
          <w:b/>
          <w:sz w:val="18"/>
          <w:szCs w:val="18"/>
        </w:rPr>
      </w:r>
    </w:p>
    <w:p>
      <w:pPr>
        <w:pStyle w:val="695"/>
        <w:jc w:val="right"/>
        <w:rPr>
          <w:rFonts w:ascii="Times New Roman" w:hAnsi="Times New Roman"/>
          <w:b/>
          <w:sz w:val="18"/>
          <w:szCs w:val="18"/>
        </w:rPr>
      </w:pPr>
      <w:r>
        <w:rPr>
          <w:rFonts w:ascii="Times New Roman" w:hAnsi="Times New Roman"/>
          <w:sz w:val="18"/>
          <w:szCs w:val="18"/>
        </w:rPr>
        <w:t xml:space="preserve">технологического присоединения к электрическим сетям</w:t>
      </w:r>
      <w:r>
        <w:rPr>
          <w:rFonts w:ascii="Times New Roman" w:hAnsi="Times New Roman"/>
          <w:b/>
          <w:sz w:val="18"/>
          <w:szCs w:val="18"/>
        </w:rPr>
      </w:r>
      <w:r>
        <w:rPr>
          <w:rFonts w:ascii="Times New Roman" w:hAnsi="Times New Roman"/>
          <w:b/>
          <w:sz w:val="18"/>
          <w:szCs w:val="18"/>
        </w:rPr>
      </w:r>
    </w:p>
    <w:p>
      <w:pPr>
        <w:pStyle w:val="695"/>
        <w:jc w:val="right"/>
        <w:rPr>
          <w:rFonts w:ascii="Times New Roman" w:hAnsi="Times New Roman"/>
          <w:b/>
          <w:sz w:val="18"/>
          <w:szCs w:val="18"/>
        </w:rPr>
      </w:pPr>
      <w:r>
        <w:rPr>
          <w:rFonts w:ascii="Times New Roman" w:hAnsi="Times New Roman"/>
          <w:sz w:val="18"/>
          <w:szCs w:val="18"/>
        </w:rPr>
        <w:t xml:space="preserve">от </w:t>
      </w:r>
      <w:r>
        <w:rPr>
          <w:rFonts w:ascii="Times New Roman" w:hAnsi="Times New Roman"/>
          <w:b/>
          <w:sz w:val="18"/>
          <w:szCs w:val="18"/>
        </w:rPr>
        <w:fldChar w:fldCharType="begin"/>
      </w:r>
      <w:r>
        <w:rPr>
          <w:rFonts w:ascii="Times New Roman" w:hAnsi="Times New Roman"/>
          <w:sz w:val="18"/>
          <w:szCs w:val="18"/>
        </w:rPr>
        <w:instrText xml:space="preserve"> DOCVARIABLE  ДатаДоговора </w:instrText>
      </w:r>
      <w:r>
        <w:rPr>
          <w:rFonts w:ascii="Times New Roman" w:hAnsi="Times New Roman"/>
          <w:b/>
          <w:sz w:val="18"/>
          <w:szCs w:val="18"/>
        </w:rPr>
        <w:fldChar w:fldCharType="separate"/>
      </w:r>
      <w:r>
        <w:rPr>
          <w:rFonts w:ascii="Times New Roman" w:hAnsi="Times New Roman"/>
          <w:sz w:val="18"/>
          <w:szCs w:val="18"/>
        </w:rPr>
        <w:t xml:space="preserve">______"______20___г.</w:t>
      </w:r>
      <w:r>
        <w:rPr>
          <w:rFonts w:ascii="Times New Roman" w:hAnsi="Times New Roman"/>
          <w:b/>
          <w:sz w:val="18"/>
          <w:szCs w:val="18"/>
        </w:rPr>
        <w:fldChar w:fldCharType="end"/>
      </w:r>
      <w:r>
        <w:rPr>
          <w:rFonts w:ascii="Times New Roman" w:hAnsi="Times New Roman"/>
          <w:sz w:val="18"/>
          <w:szCs w:val="18"/>
        </w:rPr>
        <w:t xml:space="preserve"> №</w:t>
      </w:r>
      <w:r>
        <w:rPr>
          <w:rFonts w:ascii="Times New Roman" w:hAnsi="Times New Roman"/>
          <w:bCs/>
          <w:sz w:val="18"/>
          <w:szCs w:val="18"/>
        </w:rPr>
        <w:t xml:space="preserve"> </w:t>
      </w:r>
      <w:r>
        <w:rPr>
          <w:rFonts w:ascii="Times New Roman" w:hAnsi="Times New Roman"/>
          <w:b/>
          <w:sz w:val="18"/>
          <w:szCs w:val="18"/>
        </w:rPr>
      </w:r>
      <w:r>
        <w:rPr>
          <w:rFonts w:ascii="Times New Roman" w:hAnsi="Times New Roman"/>
          <w:b/>
          <w:sz w:val="18"/>
          <w:szCs w:val="18"/>
        </w:rPr>
      </w:r>
    </w:p>
    <w:p>
      <w:pPr>
        <w:pStyle w:val="874"/>
        <w:widowControl/>
        <w:contextualSpacing/>
        <w:jc w:val="right"/>
        <w:rPr>
          <w:rFonts w:ascii="Times New Roman" w:hAnsi="Times New Roman" w:cs="Times New Roman"/>
          <w:sz w:val="24"/>
          <w:szCs w:val="24"/>
        </w:rPr>
      </w:pPr>
      <w:r>
        <w:rPr>
          <w:rFonts w:ascii="Times New Roman" w:hAnsi="Times New Roman" w:cs="Times New Roman"/>
          <w:sz w:val="18"/>
          <w:szCs w:val="18"/>
        </w:rPr>
        <w:t xml:space="preserve">Заявка </w:t>
      </w:r>
      <w:r>
        <w:rPr>
          <w:rFonts w:ascii="Times New Roman" w:hAnsi="Times New Roman" w:cs="Times New Roman"/>
          <w:sz w:val="18"/>
          <w:szCs w:val="18"/>
        </w:rPr>
        <w:t xml:space="preserve">от _____________</w:t>
      </w:r>
      <w:r>
        <w:rPr>
          <w:rFonts w:ascii="Times New Roman" w:hAnsi="Times New Roman" w:cs="Times New Roman"/>
          <w:bCs/>
          <w:sz w:val="18"/>
          <w:szCs w:val="18"/>
        </w:rPr>
        <w:t xml:space="preserve"> </w:t>
      </w:r>
      <w:r>
        <w:rPr>
          <w:rFonts w:ascii="Times New Roman" w:hAnsi="Times New Roman" w:cs="Times New Roman"/>
          <w:sz w:val="24"/>
          <w:szCs w:val="24"/>
        </w:rPr>
      </w:r>
      <w:r>
        <w:rPr>
          <w:rFonts w:ascii="Times New Roman" w:hAnsi="Times New Roman" w:cs="Times New Roman"/>
          <w:sz w:val="24"/>
          <w:szCs w:val="24"/>
        </w:rPr>
      </w:r>
    </w:p>
    <w:p>
      <w:pPr>
        <w:pStyle w:val="673"/>
        <w:spacing w:after="0" w:line="240" w:lineRule="auto"/>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p>
      <w:pPr>
        <w:pStyle w:val="673"/>
        <w:spacing w:after="0" w:line="240" w:lineRule="auto"/>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p>
      <w:pPr>
        <w:pStyle w:val="673"/>
        <w:spacing w:after="0" w:line="240" w:lineRule="auto"/>
        <w:jc w:val="center"/>
        <w:rPr>
          <w:rFonts w:ascii="Times New Roman" w:hAnsi="Times New Roman"/>
          <w:b/>
          <w:sz w:val="24"/>
          <w:szCs w:val="24"/>
        </w:rPr>
      </w:pPr>
      <w:r>
        <w:rPr>
          <w:rFonts w:ascii="Times New Roman" w:hAnsi="Times New Roman" w:eastAsia="Times New Roman"/>
          <w:b/>
          <w:sz w:val="24"/>
          <w:szCs w:val="24"/>
          <w:lang w:eastAsia="ru-RU"/>
        </w:rPr>
        <w:t xml:space="preserve">Расчет предварительного размера платы за технологическое присоединение </w:t>
      </w:r>
      <w:r>
        <w:rPr>
          <w:rFonts w:ascii="Times New Roman" w:hAnsi="Times New Roman"/>
          <w:b/>
          <w:sz w:val="24"/>
          <w:szCs w:val="24"/>
        </w:rPr>
        <w:t xml:space="preserve">по индивидуальному проекту</w:t>
      </w:r>
      <w:r>
        <w:rPr>
          <w:rFonts w:ascii="Times New Roman" w:hAnsi="Times New Roman"/>
          <w:b/>
          <w:sz w:val="24"/>
          <w:szCs w:val="24"/>
        </w:rPr>
        <w:t xml:space="preserve"> </w:t>
      </w:r>
      <w:r>
        <w:rPr>
          <w:rFonts w:ascii="Times New Roman" w:hAnsi="Times New Roman"/>
          <w:b/>
          <w:sz w:val="24"/>
          <w:szCs w:val="24"/>
        </w:rPr>
        <w:t xml:space="preserve">к электрическим сетям </w:t>
      </w:r>
      <w:r>
        <w:rPr>
          <w:rFonts w:ascii="Times New Roman" w:hAnsi="Times New Roman"/>
          <w:b/>
          <w:sz w:val="24"/>
          <w:szCs w:val="24"/>
        </w:rPr>
      </w:r>
    </w:p>
    <w:p>
      <w:pPr>
        <w:pStyle w:val="673"/>
        <w:spacing w:after="0" w:line="240" w:lineRule="auto"/>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bl>
      <w:tblPr>
        <w:tblW w:w="9654" w:type="dxa"/>
        <w:tblInd w:w="93" w:type="dxa"/>
        <w:tblLayout w:type="autofit"/>
        <w:tblCellMar>
          <w:left w:w="108" w:type="dxa"/>
          <w:top w:w="0" w:type="dxa"/>
          <w:right w:w="108" w:type="dxa"/>
          <w:bottom w:w="0" w:type="dxa"/>
        </w:tblCellMar>
        <w:tblLook w:val="04A0" w:firstRow="1" w:lastRow="0" w:firstColumn="1" w:lastColumn="0" w:noHBand="0" w:noVBand="1"/>
      </w:tblPr>
      <w:tblGrid>
        <w:gridCol w:w="829"/>
        <w:gridCol w:w="6841"/>
        <w:gridCol w:w="1984"/>
      </w:tblGrid>
      <w:tr>
        <w:trPr>
          <w:trHeight w:val="900"/>
        </w:trPr>
        <w:tblPrEx/>
        <w:tc>
          <w:tcPr>
            <w:tcW w:w="829" w:type="auto"/>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 п/п</w:t>
            </w:r>
            <w:r>
              <w:rPr>
                <w:rFonts w:ascii="Times New Roman" w:hAnsi="Times New Roman"/>
                <w:b/>
                <w:sz w:val="24"/>
                <w:szCs w:val="24"/>
              </w:rPr>
            </w:r>
          </w:p>
        </w:tc>
        <w:tc>
          <w:tcPr>
            <w:tcW w:w="6841" w:type="dxa"/>
            <w:tcBorders>
              <w:top w:val="singl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Наименование мероприятий</w:t>
            </w:r>
            <w:r>
              <w:rPr>
                <w:rFonts w:ascii="Times New Roman" w:hAnsi="Times New Roman"/>
                <w:b/>
                <w:sz w:val="24"/>
                <w:szCs w:val="24"/>
              </w:rPr>
            </w:r>
          </w:p>
        </w:tc>
        <w:tc>
          <w:tcPr>
            <w:tcW w:w="1984" w:type="dxa"/>
            <w:tcBorders>
              <w:top w:val="singl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Размер платы </w:t>
            </w:r>
            <w:r>
              <w:rPr>
                <w:rFonts w:ascii="Times New Roman" w:hAnsi="Times New Roman"/>
                <w:b/>
                <w:sz w:val="24"/>
                <w:szCs w:val="24"/>
              </w:rPr>
            </w:r>
          </w:p>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(тыс. руб., </w:t>
            </w:r>
            <w:r>
              <w:rPr>
                <w:rFonts w:ascii="Times New Roman" w:hAnsi="Times New Roman"/>
                <w:b/>
                <w:sz w:val="24"/>
                <w:szCs w:val="24"/>
              </w:rPr>
            </w:r>
          </w:p>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без учета НДС)</w:t>
            </w:r>
            <w:r>
              <w:rPr>
                <w:rFonts w:ascii="Times New Roman" w:hAnsi="Times New Roman"/>
                <w:b/>
                <w:sz w:val="24"/>
                <w:szCs w:val="24"/>
              </w:rPr>
            </w:r>
          </w:p>
        </w:tc>
      </w:tr>
      <w:tr>
        <w:trPr>
          <w:trHeight w:val="1260"/>
        </w:trPr>
        <w:tblPrEx/>
        <w:tc>
          <w:tcPr>
            <w:tcW w:w="829" w:type="auto"/>
            <w:tcBorders>
              <w:top w:val="non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sz w:val="24"/>
                <w:szCs w:val="24"/>
              </w:rPr>
            </w:pPr>
            <w:r>
              <w:rPr>
                <w:rFonts w:ascii="Times New Roman" w:hAnsi="Times New Roman"/>
                <w:sz w:val="24"/>
                <w:szCs w:val="24"/>
              </w:rPr>
              <w:t xml:space="preserve">1</w:t>
            </w:r>
            <w:r>
              <w:rPr>
                <w:rFonts w:ascii="Times New Roman" w:hAnsi="Times New Roman"/>
                <w:sz w:val="24"/>
                <w:szCs w:val="24"/>
              </w:rPr>
              <w:t xml:space="preserve">.</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sz w:val="24"/>
                <w:szCs w:val="24"/>
              </w:rPr>
            </w:pPr>
            <w:r>
              <w:rPr>
                <w:rFonts w:ascii="Times New Roman" w:hAnsi="Times New Roman"/>
                <w:sz w:val="24"/>
                <w:szCs w:val="24"/>
              </w:rPr>
              <w:t xml:space="preserve">Выполнение сетевой организацией мероприятий, связанных </w:t>
              <w:br w:type="textWrapping" w:clear="all"/>
              <w:t xml:space="preserve">со строительством «последней мили» (строительство объектов электросетевого хозяйства), установкой приборов коммерческого учета, согласно обязательствам, предусмотренным техническими условиями</w:t>
            </w:r>
            <w:r>
              <w:rPr>
                <w:rFonts w:ascii="Times New Roman" w:hAnsi="Times New Roman"/>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673"/>
              <w:spacing w:after="0"/>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sz w:val="24"/>
                <w:szCs w:val="24"/>
              </w:rPr>
            </w:pPr>
            <w:r>
              <w:rPr>
                <w:rFonts w:ascii="Times New Roman" w:hAnsi="Times New Roman"/>
                <w:sz w:val="24"/>
                <w:szCs w:val="24"/>
              </w:rPr>
              <w:t xml:space="preserve">1.1.</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sz w:val="24"/>
                <w:szCs w:val="24"/>
                <w:highlight w:val="yellow"/>
              </w:rPr>
            </w:pPr>
            <w:r>
              <w:rPr>
                <w:rFonts w:ascii="Times New Roman" w:hAnsi="Times New Roman"/>
                <w:sz w:val="24"/>
                <w:szCs w:val="24"/>
              </w:rPr>
              <w:t xml:space="preserve">строительство воздушных </w:t>
            </w:r>
            <w:r>
              <w:rPr>
                <w:rFonts w:ascii="Times New Roman" w:hAnsi="Times New Roman"/>
                <w:sz w:val="24"/>
                <w:szCs w:val="24"/>
              </w:rPr>
              <w:t xml:space="preserve"> линий</w:t>
            </w:r>
            <w:r>
              <w:rPr>
                <w:rFonts w:ascii="Times New Roman" w:hAnsi="Times New Roman"/>
                <w:sz w:val="24"/>
                <w:szCs w:val="24"/>
                <w:highlight w:val="yellow"/>
              </w:rPr>
            </w:r>
            <w:r>
              <w:rPr>
                <w:rFonts w:ascii="Times New Roman" w:hAnsi="Times New Roman"/>
                <w:sz w:val="24"/>
                <w:szCs w:val="24"/>
                <w:highlight w:val="yellow"/>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sz w:val="24"/>
                <w:szCs w:val="24"/>
              </w:rPr>
            </w:pP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Cs/>
                <w:sz w:val="24"/>
                <w:szCs w:val="24"/>
                <w:highlight w:val="yellow"/>
              </w:rPr>
            </w:pPr>
            <w:r>
              <w:rPr>
                <w:rFonts w:ascii="Times New Roman" w:hAnsi="Times New Roman"/>
                <w:bCs/>
                <w:sz w:val="24"/>
                <w:szCs w:val="24"/>
              </w:rPr>
              <w:t xml:space="preserve">Строительство </w:t>
            </w:r>
            <w:r>
              <w:rPr>
                <w:rFonts w:ascii="Times New Roman" w:hAnsi="Times New Roman"/>
                <w:bCs/>
                <w:sz w:val="24"/>
                <w:szCs w:val="24"/>
              </w:rPr>
              <w:t xml:space="preserve">ТП</w:t>
            </w:r>
            <w:r>
              <w:rPr>
                <w:rFonts w:ascii="Times New Roman" w:hAnsi="Times New Roman"/>
                <w:bCs/>
                <w:sz w:val="24"/>
                <w:szCs w:val="24"/>
                <w:highlight w:val="yellow"/>
              </w:rPr>
            </w:r>
            <w:r>
              <w:rPr>
                <w:rFonts w:ascii="Times New Roman" w:hAnsi="Times New Roman"/>
                <w:bCs/>
                <w:sz w:val="24"/>
                <w:szCs w:val="24"/>
                <w:highlight w:val="yellow"/>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851"/>
              <w:spacing w:after="0" w:line="240" w:lineRule="auto"/>
              <w:ind w:left="0"/>
              <w:jc w:val="center"/>
              <w:rPr>
                <w:rFonts w:ascii="Times New Roman" w:hAnsi="Times New Roman"/>
                <w:sz w:val="24"/>
                <w:szCs w:val="24"/>
              </w:rPr>
            </w:pPr>
            <w:r>
              <w:rPr>
                <w:rFonts w:ascii="Times New Roman" w:hAnsi="Times New Roman"/>
                <w:sz w:val="24"/>
                <w:szCs w:val="24"/>
              </w:rPr>
              <w:t xml:space="preserve">1.4.</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sz w:val="24"/>
                <w:szCs w:val="24"/>
              </w:rPr>
            </w:pPr>
            <w:r>
              <w:rPr>
                <w:rFonts w:ascii="Times New Roman" w:hAnsi="Times New Roman"/>
                <w:sz w:val="24"/>
                <w:szCs w:val="24"/>
              </w:rPr>
              <w:t xml:space="preserve">Ст</w:t>
            </w:r>
            <w:r>
              <w:rPr>
                <w:rFonts w:ascii="Times New Roman" w:hAnsi="Times New Roman"/>
                <w:sz w:val="24"/>
                <w:szCs w:val="24"/>
              </w:rPr>
              <w:t xml:space="preserve">роительство кабельных линий…………..</w:t>
            </w:r>
            <w:r>
              <w:rPr>
                <w:rFonts w:ascii="Times New Roman" w:hAnsi="Times New Roman"/>
                <w:sz w:val="24"/>
                <w:szCs w:val="24"/>
              </w:rPr>
            </w:r>
            <w:r>
              <w:rPr>
                <w:rFonts w:ascii="Times New Roman" w:hAnsi="Times New Roman"/>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851"/>
              <w:spacing w:after="0" w:line="240" w:lineRule="auto"/>
              <w:ind w:left="0"/>
              <w:jc w:val="center"/>
              <w:rPr>
                <w:rFonts w:ascii="Times New Roman" w:hAnsi="Times New Roman"/>
                <w:sz w:val="24"/>
                <w:szCs w:val="24"/>
              </w:rPr>
            </w:pPr>
            <w:r>
              <w:rPr>
                <w:rFonts w:ascii="Times New Roman" w:hAnsi="Times New Roman"/>
                <w:sz w:val="24"/>
                <w:szCs w:val="24"/>
              </w:rPr>
              <w:t xml:space="preserve">1.5.</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851"/>
              <w:spacing w:after="0" w:line="240" w:lineRule="auto"/>
              <w:ind w:left="0"/>
              <w:jc w:val="center"/>
              <w:rPr>
                <w:rFonts w:ascii="Times New Roman" w:hAnsi="Times New Roman"/>
                <w:sz w:val="24"/>
                <w:szCs w:val="24"/>
              </w:rPr>
            </w:pPr>
            <w:r>
              <w:rPr>
                <w:rFonts w:ascii="Times New Roman" w:hAnsi="Times New Roman"/>
                <w:sz w:val="24"/>
                <w:szCs w:val="24"/>
              </w:rPr>
              <w:t xml:space="preserve">2.</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
                <w:sz w:val="24"/>
                <w:szCs w:val="24"/>
              </w:rPr>
            </w:pPr>
            <w:r>
              <w:rPr>
                <w:rFonts w:ascii="Times New Roman" w:hAnsi="Times New Roman"/>
                <w:b/>
                <w:sz w:val="24"/>
                <w:szCs w:val="24"/>
              </w:rPr>
              <w:t xml:space="preserve">Сумма ставок с применением индексов-дефляторов</w:t>
            </w:r>
            <w:r>
              <w:rPr>
                <w:rFonts w:ascii="Times New Roman" w:hAnsi="Times New Roman"/>
                <w:b/>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851"/>
              <w:spacing w:after="0" w:line="240" w:lineRule="auto"/>
              <w:ind w:left="0"/>
              <w:rPr>
                <w:rFonts w:ascii="Times New Roman" w:hAnsi="Times New Roman"/>
                <w:b/>
                <w:sz w:val="24"/>
                <w:szCs w:val="24"/>
              </w:rPr>
            </w:pPr>
            <w:r>
              <w:rPr>
                <w:rFonts w:ascii="Times New Roman" w:hAnsi="Times New Roman"/>
                <w:b/>
                <w:sz w:val="24"/>
                <w:szCs w:val="24"/>
              </w:rPr>
              <w:t xml:space="preserve">     3.</w:t>
            </w:r>
            <w:r>
              <w:rPr>
                <w:rFonts w:ascii="Times New Roman" w:hAnsi="Times New Roman"/>
                <w:b/>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
                <w:sz w:val="24"/>
                <w:szCs w:val="24"/>
              </w:rPr>
            </w:pPr>
            <w:r>
              <w:rPr>
                <w:rFonts w:ascii="Times New Roman" w:hAnsi="Times New Roman"/>
                <w:b/>
                <w:sz w:val="24"/>
                <w:szCs w:val="24"/>
              </w:rPr>
              <w:t xml:space="preserve">Выполнение мероприятий,  связанных с реконструкцией объектов электросетевого хозяйства, согласно обязательствам, предусмотренным техническими условиями</w:t>
            </w:r>
            <w:r>
              <w:rPr>
                <w:rFonts w:ascii="Times New Roman" w:hAnsi="Times New Roman"/>
                <w:b/>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4.</w:t>
            </w:r>
            <w:r>
              <w:rPr>
                <w:rFonts w:ascii="Times New Roman" w:hAnsi="Times New Roman"/>
                <w:b/>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
                <w:sz w:val="24"/>
                <w:szCs w:val="24"/>
              </w:rPr>
            </w:pPr>
            <w:r>
              <w:rPr>
                <w:rFonts w:ascii="Times New Roman" w:hAnsi="Times New Roman"/>
                <w:b/>
                <w:sz w:val="24"/>
                <w:szCs w:val="24"/>
              </w:rPr>
              <w:t xml:space="preserve">Подготовка и выдача сетевой организацией технических условий заявителю</w:t>
            </w:r>
            <w:r>
              <w:rPr>
                <w:rFonts w:ascii="Times New Roman" w:hAnsi="Times New Roman"/>
                <w:b/>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
                <w:sz w:val="24"/>
                <w:szCs w:val="24"/>
              </w:rPr>
            </w:pPr>
            <w:r>
              <w:rPr>
                <w:rFonts w:ascii="Times New Roman" w:hAnsi="Times New Roman"/>
                <w:b/>
                <w:sz w:val="24"/>
                <w:szCs w:val="24"/>
              </w:rPr>
              <w:t xml:space="preserve">Проверка сетевой организацией выполнения заявителем технических условий</w:t>
            </w:r>
            <w:r>
              <w:rPr>
                <w:rFonts w:ascii="Times New Roman" w:hAnsi="Times New Roman"/>
                <w:b/>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non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sz w:val="24"/>
                <w:szCs w:val="24"/>
              </w:rPr>
            </w:pPr>
            <w:r>
              <w:rPr>
                <w:rFonts w:ascii="Times New Roman" w:hAnsi="Times New Roman"/>
                <w:sz w:val="24"/>
                <w:szCs w:val="24"/>
              </w:rPr>
              <w:t xml:space="preserve">Расходы на оплату услуг технологического присоединения </w:t>
            </w:r>
            <w:r>
              <w:rPr>
                <w:rFonts w:ascii="Times New Roman" w:hAnsi="Times New Roman"/>
                <w:sz w:val="24"/>
                <w:szCs w:val="24"/>
              </w:rPr>
            </w:r>
          </w:p>
          <w:p>
            <w:pPr>
              <w:pStyle w:val="673"/>
              <w:spacing w:after="0" w:line="240" w:lineRule="auto"/>
              <w:rPr>
                <w:rFonts w:ascii="Times New Roman" w:hAnsi="Times New Roman"/>
                <w:sz w:val="24"/>
                <w:szCs w:val="24"/>
              </w:rPr>
            </w:pPr>
            <w:r>
              <w:rPr>
                <w:rFonts w:ascii="Times New Roman" w:hAnsi="Times New Roman"/>
                <w:sz w:val="24"/>
                <w:szCs w:val="24"/>
              </w:rPr>
              <w:t xml:space="preserve">к электрическим сетям смежной сетевой организации   </w:t>
            </w:r>
            <w:r>
              <w:rPr>
                <w:rFonts w:ascii="Times New Roman" w:hAnsi="Times New Roman"/>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r>
        <w:trPr>
          <w:trHeight w:val="315"/>
        </w:trPr>
        <w:tblPrEx/>
        <w:tc>
          <w:tcPr>
            <w:tcW w:w="829" w:type="auto"/>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673"/>
              <w:spacing w:after="0" w:line="240" w:lineRule="auto"/>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r>
          </w:p>
        </w:tc>
        <w:tc>
          <w:tcPr>
            <w:tcW w:w="6841"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spacing w:after="0" w:line="240" w:lineRule="auto"/>
              <w:rPr>
                <w:rFonts w:ascii="Times New Roman" w:hAnsi="Times New Roman"/>
                <w:b/>
                <w:sz w:val="24"/>
                <w:szCs w:val="24"/>
              </w:rPr>
            </w:pPr>
            <w:r>
              <w:rPr>
                <w:rFonts w:ascii="Times New Roman" w:hAnsi="Times New Roman"/>
                <w:b/>
                <w:sz w:val="24"/>
                <w:szCs w:val="24"/>
              </w:rPr>
              <w:t xml:space="preserve">Итого плата за технологическое присоединение:</w:t>
            </w:r>
            <w:r>
              <w:rPr>
                <w:rFonts w:ascii="Times New Roman" w:hAnsi="Times New Roman"/>
                <w:b/>
                <w:sz w:val="24"/>
                <w:szCs w:val="24"/>
              </w:rPr>
            </w:r>
          </w:p>
        </w:tc>
        <w:tc>
          <w:tcPr>
            <w:tcW w:w="1984" w:type="dxa"/>
            <w:tcBorders>
              <w:top w:val="none" w:color="000000" w:sz="4" w:space="0"/>
              <w:left w:val="none" w:color="000000" w:sz="4" w:space="0"/>
              <w:bottom w:val="single" w:color="000000" w:sz="4" w:space="0"/>
              <w:right w:val="single" w:color="000000" w:sz="4" w:space="0"/>
            </w:tcBorders>
            <w:noWrap w:val="false"/>
            <w:textDirection w:val="lrTb"/>
            <w:vAlign w:val="center"/>
          </w:tcPr>
          <w:p>
            <w:pPr>
              <w:pStyle w:val="673"/>
              <w:jc w:val="right"/>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tc>
      </w:tr>
    </w:tbl>
    <w:p>
      <w:pPr>
        <w:pStyle w:val="673"/>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sectPr>
      <w:headerReference w:type="first" r:id="rId9"/>
      <w:footnotePr/>
      <w:endnotePr/>
      <w:type w:val="nextPage"/>
      <w:pgSz w:w="11906" w:h="16838" w:orient="portrait"/>
      <w:pgMar w:top="1134" w:right="707" w:bottom="1134" w:left="1134" w:header="708" w:footer="708"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Segoe UI">
    <w:panose1 w:val="020B050204050402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5824" w:hanging="720"/>
      </w:pPr>
      <w:rPr>
        <w:color w:val="000000"/>
      </w:rPr>
    </w:lvl>
    <w:lvl w:ilvl="2">
      <w:start w:val="1"/>
      <w:numFmt w:val="decimal"/>
      <w:isLgl w:val="false"/>
      <w:suff w:val="tab"/>
      <w:lvlText w:val="%1.%2.%3."/>
      <w:lvlJc w:val="left"/>
      <w:pPr>
        <w:ind w:left="1080" w:hanging="720"/>
      </w:pPr>
    </w:lvl>
    <w:lvl w:ilvl="3">
      <w:start w:val="1"/>
      <w:numFmt w:val="decimal"/>
      <w:isLgl w:val="false"/>
      <w:suff w:val="tab"/>
      <w:lvlText w:val="%1.%2.%3.%4."/>
      <w:lvlJc w:val="left"/>
      <w:pPr>
        <w:ind w:left="1440"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1">
    <w:multiLevelType w:val="hybridMultilevel"/>
    <w:lvl w:ilvl="0">
      <w:start w:val="1"/>
      <w:numFmt w:val="bullet"/>
      <w:isLgl w:val="false"/>
      <w:suff w:val="tab"/>
      <w:lvlText w:val=""/>
      <w:lvlJc w:val="left"/>
      <w:pPr>
        <w:tabs>
          <w:tab w:val="num" w:pos="720" w:leader="none"/>
        </w:tabs>
        <w:ind w:left="720" w:hanging="360"/>
      </w:pPr>
      <w:rPr>
        <w:rFonts w:ascii="Wingdings" w:hAnsi="Wingdings"/>
      </w:rPr>
    </w:lvl>
    <w:lvl w:ilvl="1">
      <w:start w:val="1"/>
      <w:numFmt w:val="bullet"/>
      <w:isLgl w:val="false"/>
      <w:suff w:val="tab"/>
      <w:lvlText w:val="o"/>
      <w:lvlJc w:val="left"/>
      <w:pPr>
        <w:tabs>
          <w:tab w:val="num" w:pos="1440" w:leader="none"/>
        </w:tabs>
        <w:ind w:left="1440" w:hanging="360"/>
      </w:pPr>
      <w:rPr>
        <w:rFonts w:ascii="Courier New" w:hAnsi="Courier New" w:cs="Courier New"/>
      </w:rPr>
    </w:lvl>
    <w:lvl w:ilvl="2">
      <w:start w:val="1"/>
      <w:numFmt w:val="bullet"/>
      <w:isLgl w:val="false"/>
      <w:suff w:val="tab"/>
      <w:lvlText w:val=""/>
      <w:lvlJc w:val="left"/>
      <w:pPr>
        <w:tabs>
          <w:tab w:val="num" w:pos="2160" w:leader="none"/>
        </w:tabs>
        <w:ind w:left="2160" w:hanging="360"/>
      </w:pPr>
      <w:rPr>
        <w:rFonts w:ascii="Wingdings" w:hAnsi="Wingdings"/>
      </w:rPr>
    </w:lvl>
    <w:lvl w:ilvl="3">
      <w:start w:val="1"/>
      <w:numFmt w:val="bullet"/>
      <w:isLgl w:val="false"/>
      <w:suff w:val="tab"/>
      <w:lvlText w:val=""/>
      <w:lvlJc w:val="left"/>
      <w:pPr>
        <w:tabs>
          <w:tab w:val="num" w:pos="2880" w:leader="none"/>
        </w:tabs>
        <w:ind w:left="2880" w:hanging="360"/>
      </w:pPr>
      <w:rPr>
        <w:rFonts w:ascii="Symbol" w:hAnsi="Symbol"/>
      </w:rPr>
    </w:lvl>
    <w:lvl w:ilvl="4">
      <w:start w:val="1"/>
      <w:numFmt w:val="bullet"/>
      <w:isLgl w:val="false"/>
      <w:suff w:val="tab"/>
      <w:lvlText w:val="o"/>
      <w:lvlJc w:val="left"/>
      <w:pPr>
        <w:tabs>
          <w:tab w:val="num" w:pos="3600" w:leader="none"/>
        </w:tabs>
        <w:ind w:left="3600" w:hanging="360"/>
      </w:pPr>
      <w:rPr>
        <w:rFonts w:ascii="Courier New" w:hAnsi="Courier New" w:cs="Courier New"/>
      </w:rPr>
    </w:lvl>
    <w:lvl w:ilvl="5">
      <w:start w:val="1"/>
      <w:numFmt w:val="bullet"/>
      <w:isLgl w:val="false"/>
      <w:suff w:val="tab"/>
      <w:lvlText w:val=""/>
      <w:lvlJc w:val="left"/>
      <w:pPr>
        <w:tabs>
          <w:tab w:val="num" w:pos="4320" w:leader="none"/>
        </w:tabs>
        <w:ind w:left="4320" w:hanging="360"/>
      </w:pPr>
      <w:rPr>
        <w:rFonts w:ascii="Wingdings" w:hAnsi="Wingdings"/>
      </w:rPr>
    </w:lvl>
    <w:lvl w:ilvl="6">
      <w:start w:val="1"/>
      <w:numFmt w:val="bullet"/>
      <w:isLgl w:val="false"/>
      <w:suff w:val="tab"/>
      <w:lvlText w:val=""/>
      <w:lvlJc w:val="left"/>
      <w:pPr>
        <w:tabs>
          <w:tab w:val="num" w:pos="5040" w:leader="none"/>
        </w:tabs>
        <w:ind w:left="5040" w:hanging="360"/>
      </w:pPr>
      <w:rPr>
        <w:rFonts w:ascii="Symbol" w:hAnsi="Symbol"/>
      </w:rPr>
    </w:lvl>
    <w:lvl w:ilvl="7">
      <w:start w:val="1"/>
      <w:numFmt w:val="bullet"/>
      <w:isLgl w:val="false"/>
      <w:suff w:val="tab"/>
      <w:lvlText w:val="o"/>
      <w:lvlJc w:val="left"/>
      <w:pPr>
        <w:tabs>
          <w:tab w:val="num" w:pos="5760" w:leader="none"/>
        </w:tabs>
        <w:ind w:left="5760" w:hanging="360"/>
      </w:pPr>
      <w:rPr>
        <w:rFonts w:ascii="Courier New" w:hAnsi="Courier New" w:cs="Courier New"/>
      </w:rPr>
    </w:lvl>
    <w:lvl w:ilvl="8">
      <w:start w:val="1"/>
      <w:numFmt w:val="bullet"/>
      <w:isLgl w:val="false"/>
      <w:suff w:val="tab"/>
      <w:lvlText w:val=""/>
      <w:lvlJc w:val="left"/>
      <w:pPr>
        <w:tabs>
          <w:tab w:val="num" w:pos="6480" w:leader="none"/>
        </w:tabs>
        <w:ind w:left="6480" w:hanging="360"/>
      </w:pPr>
      <w:rPr>
        <w:rFonts w:ascii="Wingdings" w:hAnsi="Wingdings"/>
      </w:rPr>
    </w:lvl>
  </w:abstractNum>
  <w:abstractNum w:abstractNumId="2">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3">
    <w:multiLevelType w:val="hybridMultilevel"/>
    <w:lvl w:ilvl="0">
      <w:start w:val="0"/>
      <w:numFmt w:val="bullet"/>
      <w:isLgl w:val="false"/>
      <w:suff w:val="space"/>
      <w:lvlText w:val=""/>
      <w:lvlJc w:val="left"/>
      <w:pPr>
        <w:ind w:left="720" w:hanging="360"/>
      </w:pPr>
      <w:rPr>
        <w:rFonts w:ascii="Times New Roman" w:hAnsi="Times New Roman" w:eastAsia="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bullet"/>
      <w:isLgl w:val="false"/>
      <w:suff w:val="tab"/>
      <w:lvlText w:val=""/>
      <w:lvlJc w:val="left"/>
      <w:pPr>
        <w:tabs>
          <w:tab w:val="num" w:pos="720" w:leader="none"/>
        </w:tabs>
        <w:ind w:left="720" w:hanging="360"/>
      </w:pPr>
      <w:rPr>
        <w:rFonts w:ascii="Symbol" w:hAnsi="Symbol"/>
      </w:rPr>
    </w:lvl>
    <w:lvl w:ilvl="1">
      <w:start w:val="1"/>
      <w:numFmt w:val="bullet"/>
      <w:isLgl w:val="false"/>
      <w:suff w:val="tab"/>
      <w:lvlText w:val="o"/>
      <w:lvlJc w:val="left"/>
      <w:pPr>
        <w:tabs>
          <w:tab w:val="num" w:pos="1440" w:leader="none"/>
        </w:tabs>
        <w:ind w:left="1440" w:hanging="360"/>
      </w:pPr>
      <w:rPr>
        <w:rFonts w:ascii="Courier New" w:hAnsi="Courier New" w:cs="Courier New"/>
      </w:rPr>
    </w:lvl>
    <w:lvl w:ilvl="2">
      <w:start w:val="1"/>
      <w:numFmt w:val="bullet"/>
      <w:isLgl w:val="false"/>
      <w:suff w:val="tab"/>
      <w:lvlText w:val=""/>
      <w:lvlJc w:val="left"/>
      <w:pPr>
        <w:tabs>
          <w:tab w:val="num" w:pos="2160" w:leader="none"/>
        </w:tabs>
        <w:ind w:left="2160" w:hanging="360"/>
      </w:pPr>
      <w:rPr>
        <w:rFonts w:ascii="Wingdings" w:hAnsi="Wingdings"/>
      </w:rPr>
    </w:lvl>
    <w:lvl w:ilvl="3">
      <w:start w:val="1"/>
      <w:numFmt w:val="bullet"/>
      <w:isLgl w:val="false"/>
      <w:suff w:val="tab"/>
      <w:lvlText w:val=""/>
      <w:lvlJc w:val="left"/>
      <w:pPr>
        <w:tabs>
          <w:tab w:val="num" w:pos="2880" w:leader="none"/>
        </w:tabs>
        <w:ind w:left="2880" w:hanging="360"/>
      </w:pPr>
      <w:rPr>
        <w:rFonts w:ascii="Symbol" w:hAnsi="Symbol"/>
      </w:rPr>
    </w:lvl>
    <w:lvl w:ilvl="4">
      <w:start w:val="1"/>
      <w:numFmt w:val="bullet"/>
      <w:isLgl w:val="false"/>
      <w:suff w:val="tab"/>
      <w:lvlText w:val="o"/>
      <w:lvlJc w:val="left"/>
      <w:pPr>
        <w:tabs>
          <w:tab w:val="num" w:pos="3600" w:leader="none"/>
        </w:tabs>
        <w:ind w:left="3600" w:hanging="360"/>
      </w:pPr>
      <w:rPr>
        <w:rFonts w:ascii="Courier New" w:hAnsi="Courier New" w:cs="Courier New"/>
      </w:rPr>
    </w:lvl>
    <w:lvl w:ilvl="5">
      <w:start w:val="1"/>
      <w:numFmt w:val="bullet"/>
      <w:isLgl w:val="false"/>
      <w:suff w:val="tab"/>
      <w:lvlText w:val=""/>
      <w:lvlJc w:val="left"/>
      <w:pPr>
        <w:tabs>
          <w:tab w:val="num" w:pos="4320" w:leader="none"/>
        </w:tabs>
        <w:ind w:left="4320" w:hanging="360"/>
      </w:pPr>
      <w:rPr>
        <w:rFonts w:ascii="Wingdings" w:hAnsi="Wingdings"/>
      </w:rPr>
    </w:lvl>
    <w:lvl w:ilvl="6">
      <w:start w:val="1"/>
      <w:numFmt w:val="bullet"/>
      <w:isLgl w:val="false"/>
      <w:suff w:val="tab"/>
      <w:lvlText w:val=""/>
      <w:lvlJc w:val="left"/>
      <w:pPr>
        <w:tabs>
          <w:tab w:val="num" w:pos="5040" w:leader="none"/>
        </w:tabs>
        <w:ind w:left="5040" w:hanging="360"/>
      </w:pPr>
      <w:rPr>
        <w:rFonts w:ascii="Symbol" w:hAnsi="Symbol"/>
      </w:rPr>
    </w:lvl>
    <w:lvl w:ilvl="7">
      <w:start w:val="1"/>
      <w:numFmt w:val="bullet"/>
      <w:isLgl w:val="false"/>
      <w:suff w:val="tab"/>
      <w:lvlText w:val="o"/>
      <w:lvlJc w:val="left"/>
      <w:pPr>
        <w:tabs>
          <w:tab w:val="num" w:pos="5760" w:leader="none"/>
        </w:tabs>
        <w:ind w:left="5760" w:hanging="360"/>
      </w:pPr>
      <w:rPr>
        <w:rFonts w:ascii="Courier New" w:hAnsi="Courier New" w:cs="Courier New"/>
      </w:rPr>
    </w:lvl>
    <w:lvl w:ilvl="8">
      <w:start w:val="1"/>
      <w:numFmt w:val="bullet"/>
      <w:isLgl w:val="false"/>
      <w:suff w:val="tab"/>
      <w:lvlText w:val=""/>
      <w:lvlJc w:val="left"/>
      <w:pPr>
        <w:tabs>
          <w:tab w:val="num" w:pos="6480" w:leader="none"/>
        </w:tabs>
        <w:ind w:left="6480" w:hanging="360"/>
      </w:pPr>
      <w:rPr>
        <w:rFonts w:ascii="Wingdings" w:hAnsi="Wingdings"/>
      </w:rPr>
    </w:lvl>
  </w:abstractNum>
  <w:abstractNum w:abstractNumId="5">
    <w:multiLevelType w:val="hybridMultilevel"/>
    <w:lvl w:ilvl="0">
      <w:start w:val="5"/>
      <w:numFmt w:val="decimal"/>
      <w:isLgl w:val="false"/>
      <w:suff w:val="tab"/>
      <w:lvlText w:val="%1"/>
      <w:lvlJc w:val="left"/>
      <w:pPr>
        <w:ind w:left="360" w:hanging="360"/>
      </w:pPr>
    </w:lvl>
    <w:lvl w:ilvl="1">
      <w:start w:val="1"/>
      <w:numFmt w:val="decimal"/>
      <w:isLgl w:val="false"/>
      <w:suff w:val="tab"/>
      <w:lvlText w:val="%1.%2"/>
      <w:lvlJc w:val="left"/>
      <w:pPr>
        <w:ind w:left="810" w:hanging="360"/>
      </w:pPr>
    </w:lvl>
    <w:lvl w:ilvl="2">
      <w:start w:val="1"/>
      <w:numFmt w:val="decimal"/>
      <w:isLgl w:val="false"/>
      <w:suff w:val="tab"/>
      <w:lvlText w:val="%1.%2.%3"/>
      <w:lvlJc w:val="left"/>
      <w:pPr>
        <w:ind w:left="1620" w:hanging="720"/>
      </w:pPr>
    </w:lvl>
    <w:lvl w:ilvl="3">
      <w:start w:val="1"/>
      <w:numFmt w:val="decimal"/>
      <w:isLgl w:val="false"/>
      <w:suff w:val="tab"/>
      <w:lvlText w:val="%1.%2.%3.%4"/>
      <w:lvlJc w:val="left"/>
      <w:pPr>
        <w:ind w:left="2070" w:hanging="720"/>
      </w:pPr>
    </w:lvl>
    <w:lvl w:ilvl="4">
      <w:start w:val="1"/>
      <w:numFmt w:val="decimal"/>
      <w:isLgl w:val="false"/>
      <w:suff w:val="tab"/>
      <w:lvlText w:val="%1.%2.%3.%4.%5"/>
      <w:lvlJc w:val="left"/>
      <w:pPr>
        <w:ind w:left="2880" w:hanging="1080"/>
      </w:pPr>
    </w:lvl>
    <w:lvl w:ilvl="5">
      <w:start w:val="1"/>
      <w:numFmt w:val="decimal"/>
      <w:isLgl w:val="false"/>
      <w:suff w:val="tab"/>
      <w:lvlText w:val="%1.%2.%3.%4.%5.%6"/>
      <w:lvlJc w:val="left"/>
      <w:pPr>
        <w:ind w:left="3330" w:hanging="1080"/>
      </w:pPr>
    </w:lvl>
    <w:lvl w:ilvl="6">
      <w:start w:val="1"/>
      <w:numFmt w:val="decimal"/>
      <w:isLgl w:val="false"/>
      <w:suff w:val="tab"/>
      <w:lvlText w:val="%1.%2.%3.%4.%5.%6.%7"/>
      <w:lvlJc w:val="left"/>
      <w:pPr>
        <w:ind w:left="4140" w:hanging="1440"/>
      </w:pPr>
    </w:lvl>
    <w:lvl w:ilvl="7">
      <w:start w:val="1"/>
      <w:numFmt w:val="decimal"/>
      <w:isLgl w:val="false"/>
      <w:suff w:val="tab"/>
      <w:lvlText w:val="%1.%2.%3.%4.%5.%6.%7.%8"/>
      <w:lvlJc w:val="left"/>
      <w:pPr>
        <w:ind w:left="4590" w:hanging="1440"/>
      </w:pPr>
    </w:lvl>
    <w:lvl w:ilvl="8">
      <w:start w:val="1"/>
      <w:numFmt w:val="decimal"/>
      <w:isLgl w:val="false"/>
      <w:suff w:val="tab"/>
      <w:lvlText w:val="%1.%2.%3.%4.%5.%6.%7.%8.%9"/>
      <w:lvlJc w:val="left"/>
      <w:pPr>
        <w:ind w:left="5400" w:hanging="1800"/>
      </w:pPr>
    </w:lvl>
  </w:abstractNum>
  <w:abstractNum w:abstractNumId="6">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7">
    <w:multiLevelType w:val="hybridMultilevel"/>
    <w:lvl w:ilvl="0">
      <w:start w:val="1"/>
      <w:numFmt w:val="bullet"/>
      <w:isLgl w:val="false"/>
      <w:suff w:val="tab"/>
      <w:lvlText w:val=""/>
      <w:lvlJc w:val="left"/>
      <w:pPr>
        <w:ind w:left="502" w:hanging="360"/>
      </w:pPr>
      <w:rPr>
        <w:rFonts w:ascii="Symbol" w:hAnsi="Symbol"/>
      </w:rPr>
    </w:lvl>
    <w:lvl w:ilvl="1">
      <w:start w:val="1"/>
      <w:numFmt w:val="bullet"/>
      <w:isLgl w:val="false"/>
      <w:suff w:val="tab"/>
      <w:lvlText w:val="o"/>
      <w:lvlJc w:val="left"/>
      <w:pPr>
        <w:ind w:left="1222" w:hanging="360"/>
      </w:pPr>
      <w:rPr>
        <w:rFonts w:ascii="Courier New" w:hAnsi="Courier New" w:cs="Courier New"/>
      </w:rPr>
    </w:lvl>
    <w:lvl w:ilvl="2">
      <w:start w:val="1"/>
      <w:numFmt w:val="bullet"/>
      <w:isLgl w:val="false"/>
      <w:suff w:val="tab"/>
      <w:lvlText w:val=""/>
      <w:lvlJc w:val="left"/>
      <w:pPr>
        <w:ind w:left="1942" w:hanging="360"/>
      </w:pPr>
      <w:rPr>
        <w:rFonts w:ascii="Wingdings" w:hAnsi="Wingdings"/>
      </w:rPr>
    </w:lvl>
    <w:lvl w:ilvl="3">
      <w:start w:val="1"/>
      <w:numFmt w:val="bullet"/>
      <w:isLgl w:val="false"/>
      <w:suff w:val="tab"/>
      <w:lvlText w:val=""/>
      <w:lvlJc w:val="left"/>
      <w:pPr>
        <w:ind w:left="2662" w:hanging="360"/>
      </w:pPr>
      <w:rPr>
        <w:rFonts w:ascii="Symbol" w:hAnsi="Symbol"/>
      </w:rPr>
    </w:lvl>
    <w:lvl w:ilvl="4">
      <w:start w:val="1"/>
      <w:numFmt w:val="bullet"/>
      <w:isLgl w:val="false"/>
      <w:suff w:val="tab"/>
      <w:lvlText w:val="o"/>
      <w:lvlJc w:val="left"/>
      <w:pPr>
        <w:ind w:left="3382" w:hanging="360"/>
      </w:pPr>
      <w:rPr>
        <w:rFonts w:ascii="Courier New" w:hAnsi="Courier New" w:cs="Courier New"/>
      </w:rPr>
    </w:lvl>
    <w:lvl w:ilvl="5">
      <w:start w:val="1"/>
      <w:numFmt w:val="bullet"/>
      <w:isLgl w:val="false"/>
      <w:suff w:val="tab"/>
      <w:lvlText w:val=""/>
      <w:lvlJc w:val="left"/>
      <w:pPr>
        <w:ind w:left="4102" w:hanging="360"/>
      </w:pPr>
      <w:rPr>
        <w:rFonts w:ascii="Wingdings" w:hAnsi="Wingdings"/>
      </w:rPr>
    </w:lvl>
    <w:lvl w:ilvl="6">
      <w:start w:val="1"/>
      <w:numFmt w:val="bullet"/>
      <w:isLgl w:val="false"/>
      <w:suff w:val="tab"/>
      <w:lvlText w:val=""/>
      <w:lvlJc w:val="left"/>
      <w:pPr>
        <w:ind w:left="4822" w:hanging="360"/>
      </w:pPr>
      <w:rPr>
        <w:rFonts w:ascii="Symbol" w:hAnsi="Symbol"/>
      </w:rPr>
    </w:lvl>
    <w:lvl w:ilvl="7">
      <w:start w:val="1"/>
      <w:numFmt w:val="bullet"/>
      <w:isLgl w:val="false"/>
      <w:suff w:val="tab"/>
      <w:lvlText w:val="o"/>
      <w:lvlJc w:val="left"/>
      <w:pPr>
        <w:ind w:left="5542" w:hanging="360"/>
      </w:pPr>
      <w:rPr>
        <w:rFonts w:ascii="Courier New" w:hAnsi="Courier New" w:cs="Courier New"/>
      </w:rPr>
    </w:lvl>
    <w:lvl w:ilvl="8">
      <w:start w:val="1"/>
      <w:numFmt w:val="bullet"/>
      <w:isLgl w:val="false"/>
      <w:suff w:val="tab"/>
      <w:lvlText w:val=""/>
      <w:lvlJc w:val="left"/>
      <w:pPr>
        <w:ind w:left="6262" w:hanging="360"/>
      </w:pPr>
      <w:rPr>
        <w:rFonts w:ascii="Wingdings" w:hAnsi="Wingdings"/>
      </w:rPr>
    </w:lvl>
  </w:abstractNum>
  <w:abstractNum w:abstractNumId="8">
    <w:multiLevelType w:val="hybridMultilevel"/>
    <w:lvl w:ilvl="0">
      <w:start w:val="1"/>
      <w:numFmt w:val="decimal"/>
      <w:isLgl w:val="false"/>
      <w:suff w:val="tab"/>
      <w:lvlText w:val="%1."/>
      <w:lvlJc w:val="left"/>
      <w:pPr>
        <w:ind w:left="720" w:hanging="360"/>
      </w:pPr>
      <w:rPr>
        <w:b/>
        <w:i w:val="0"/>
      </w:rPr>
    </w:lvl>
    <w:lvl w:ilvl="1">
      <w:start w:val="1"/>
      <w:numFmt w:val="decimal"/>
      <w:isLgl w:val="false"/>
      <w:suff w:val="tab"/>
      <w:lvlText w:val="%1.%2."/>
      <w:lvlJc w:val="left"/>
      <w:pPr>
        <w:ind w:left="720" w:hanging="360"/>
      </w:pPr>
      <w:rPr>
        <w:b w:val="0"/>
      </w:rPr>
    </w:lvl>
    <w:lvl w:ilvl="2">
      <w:start w:val="1"/>
      <w:numFmt w:val="decimal"/>
      <w:isLgl w:val="false"/>
      <w:suff w:val="tab"/>
      <w:lvlText w:val="%1.%2.%3."/>
      <w:lvlJc w:val="left"/>
      <w:pPr>
        <w:ind w:left="1288" w:hanging="720"/>
      </w:pPr>
      <w:rPr>
        <w:b w:val="0"/>
      </w:rPr>
    </w:lvl>
    <w:lvl w:ilvl="3">
      <w:start w:val="1"/>
      <w:numFmt w:val="decimal"/>
      <w:isLgl w:val="false"/>
      <w:suff w:val="tab"/>
      <w:lvlText w:val="%1.%2.%3.%4."/>
      <w:lvlJc w:val="left"/>
      <w:pPr>
        <w:ind w:left="1571" w:hanging="72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440" w:hanging="1080"/>
      </w:pPr>
    </w:lvl>
    <w:lvl w:ilvl="6">
      <w:start w:val="1"/>
      <w:numFmt w:val="decimal"/>
      <w:isLgl w:val="false"/>
      <w:suff w:val="tab"/>
      <w:lvlText w:val="%1.%2.%3.%4.%5.%6.%7."/>
      <w:lvlJc w:val="left"/>
      <w:pPr>
        <w:ind w:left="1800" w:hanging="1440"/>
      </w:pPr>
    </w:lvl>
    <w:lvl w:ilvl="7">
      <w:start w:val="1"/>
      <w:numFmt w:val="decimal"/>
      <w:isLgl w:val="false"/>
      <w:suff w:val="tab"/>
      <w:lvlText w:val="%1.%2.%3.%4.%5.%6.%7.%8."/>
      <w:lvlJc w:val="left"/>
      <w:pPr>
        <w:ind w:left="1800" w:hanging="1440"/>
      </w:pPr>
    </w:lvl>
    <w:lvl w:ilvl="8">
      <w:start w:val="1"/>
      <w:numFmt w:val="decimal"/>
      <w:isLgl w:val="false"/>
      <w:suff w:val="tab"/>
      <w:lvlText w:val="%1.%2.%3.%4.%5.%6.%7.%8.%9."/>
      <w:lvlJc w:val="left"/>
      <w:pPr>
        <w:ind w:left="2160" w:hanging="1800"/>
      </w:pPr>
    </w:lvl>
  </w:abstractNum>
  <w:abstractNum w:abstractNumId="9">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10">
    <w:multiLevelType w:val="hybridMultilevel"/>
    <w:lvl w:ilvl="0">
      <w:start w:val="1"/>
      <w:numFmt w:val="bullet"/>
      <w:isLgl w:val="false"/>
      <w:suff w:val="space"/>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1">
    <w:multiLevelType w:val="hybridMultilevel"/>
    <w:lvl w:ilvl="0">
      <w:start w:val="1"/>
      <w:numFmt w:val="decimal"/>
      <w:isLgl w:val="false"/>
      <w:suff w:val="tab"/>
      <w:lvlText w:val="%1."/>
      <w:lvlJc w:val="left"/>
      <w:pPr>
        <w:ind w:left="720" w:hanging="360"/>
      </w:pPr>
      <w:rPr>
        <w:b/>
        <w:i w:val="0"/>
      </w:rPr>
    </w:lvl>
    <w:lvl w:ilvl="1">
      <w:start w:val="1"/>
      <w:numFmt w:val="decimal"/>
      <w:isLgl w:val="false"/>
      <w:suff w:val="tab"/>
      <w:lvlText w:val="%1.%2."/>
      <w:lvlJc w:val="left"/>
      <w:pPr>
        <w:ind w:left="720" w:hanging="360"/>
      </w:pPr>
    </w:lvl>
    <w:lvl w:ilvl="2">
      <w:start w:val="1"/>
      <w:numFmt w:val="decimal"/>
      <w:pStyle w:val="877"/>
      <w:isLgl w:val="false"/>
      <w:suff w:val="tab"/>
      <w:lvlText w:val="%1.%2.%3."/>
      <w:lvlJc w:val="left"/>
      <w:pPr>
        <w:ind w:left="1080" w:hanging="720"/>
      </w:pPr>
    </w:lvl>
    <w:lvl w:ilvl="3">
      <w:start w:val="1"/>
      <w:numFmt w:val="decimal"/>
      <w:pStyle w:val="876"/>
      <w:isLgl w:val="false"/>
      <w:suff w:val="tab"/>
      <w:lvlText w:val="%1.%2.%3.%4."/>
      <w:lvlJc w:val="left"/>
      <w:pPr>
        <w:ind w:left="4406" w:hanging="720"/>
      </w:pPr>
    </w:lvl>
    <w:lvl w:ilvl="4">
      <w:start w:val="1"/>
      <w:numFmt w:val="decimal"/>
      <w:pStyle w:val="879"/>
      <w:isLgl w:val="false"/>
      <w:suff w:val="tab"/>
      <w:lvlText w:val="%1.%2.%3.%4.%5."/>
      <w:lvlJc w:val="left"/>
      <w:pPr>
        <w:ind w:left="1440" w:hanging="1080"/>
      </w:pPr>
    </w:lvl>
    <w:lvl w:ilvl="5">
      <w:start w:val="1"/>
      <w:numFmt w:val="decimal"/>
      <w:isLgl w:val="false"/>
      <w:suff w:val="tab"/>
      <w:lvlText w:val="%1.%2.%3.%4.%5.%6."/>
      <w:lvlJc w:val="left"/>
      <w:pPr>
        <w:ind w:left="1440" w:hanging="1080"/>
      </w:pPr>
    </w:lvl>
    <w:lvl w:ilvl="6">
      <w:start w:val="1"/>
      <w:numFmt w:val="decimal"/>
      <w:isLgl w:val="false"/>
      <w:suff w:val="tab"/>
      <w:lvlText w:val="%1.%2.%3.%4.%5.%6.%7."/>
      <w:lvlJc w:val="left"/>
      <w:pPr>
        <w:ind w:left="1800" w:hanging="1440"/>
      </w:pPr>
    </w:lvl>
    <w:lvl w:ilvl="7">
      <w:start w:val="1"/>
      <w:numFmt w:val="decimal"/>
      <w:isLgl w:val="false"/>
      <w:suff w:val="tab"/>
      <w:lvlText w:val="%1.%2.%3.%4.%5.%6.%7.%8."/>
      <w:lvlJc w:val="left"/>
      <w:pPr>
        <w:ind w:left="1800" w:hanging="1440"/>
      </w:pPr>
    </w:lvl>
    <w:lvl w:ilvl="8">
      <w:start w:val="1"/>
      <w:numFmt w:val="decimal"/>
      <w:isLgl w:val="false"/>
      <w:suff w:val="tab"/>
      <w:lvlText w:val="%1.%2.%3.%4.%5.%6.%7.%8.%9."/>
      <w:lvlJc w:val="left"/>
      <w:pPr>
        <w:ind w:left="2160" w:hanging="1800"/>
      </w:pPr>
    </w:lvl>
  </w:abstractNum>
  <w:abstractNum w:abstractNumId="12">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13">
    <w:multiLevelType w:val="hybridMultilevel"/>
    <w:lvl w:ilvl="0">
      <w:start w:val="1"/>
      <w:numFmt w:val="bullet"/>
      <w:isLgl w:val="false"/>
      <w:suff w:val="tab"/>
      <w:lvlText w:val=""/>
      <w:lvlJc w:val="left"/>
      <w:pPr>
        <w:tabs>
          <w:tab w:val="num" w:pos="720" w:leader="none"/>
        </w:tabs>
        <w:ind w:left="720" w:hanging="360"/>
      </w:pPr>
      <w:rPr>
        <w:rFonts w:ascii="Wingdings" w:hAnsi="Wingdings"/>
      </w:rPr>
    </w:lvl>
    <w:lvl w:ilvl="1">
      <w:start w:val="1"/>
      <w:numFmt w:val="bullet"/>
      <w:isLgl w:val="false"/>
      <w:suff w:val="tab"/>
      <w:lvlText w:val="o"/>
      <w:lvlJc w:val="left"/>
      <w:pPr>
        <w:tabs>
          <w:tab w:val="num" w:pos="1440" w:leader="none"/>
        </w:tabs>
        <w:ind w:left="1440" w:hanging="360"/>
      </w:pPr>
      <w:rPr>
        <w:rFonts w:ascii="Courier New" w:hAnsi="Courier New" w:cs="Courier New"/>
      </w:rPr>
    </w:lvl>
    <w:lvl w:ilvl="2">
      <w:start w:val="1"/>
      <w:numFmt w:val="bullet"/>
      <w:isLgl w:val="false"/>
      <w:suff w:val="tab"/>
      <w:lvlText w:val=""/>
      <w:lvlJc w:val="left"/>
      <w:pPr>
        <w:tabs>
          <w:tab w:val="num" w:pos="2160" w:leader="none"/>
        </w:tabs>
        <w:ind w:left="2160" w:hanging="360"/>
      </w:pPr>
      <w:rPr>
        <w:rFonts w:ascii="Wingdings" w:hAnsi="Wingdings"/>
      </w:rPr>
    </w:lvl>
    <w:lvl w:ilvl="3">
      <w:start w:val="1"/>
      <w:numFmt w:val="bullet"/>
      <w:isLgl w:val="false"/>
      <w:suff w:val="tab"/>
      <w:lvlText w:val=""/>
      <w:lvlJc w:val="left"/>
      <w:pPr>
        <w:tabs>
          <w:tab w:val="num" w:pos="2880" w:leader="none"/>
        </w:tabs>
        <w:ind w:left="2880" w:hanging="360"/>
      </w:pPr>
      <w:rPr>
        <w:rFonts w:ascii="Symbol" w:hAnsi="Symbol"/>
      </w:rPr>
    </w:lvl>
    <w:lvl w:ilvl="4">
      <w:start w:val="1"/>
      <w:numFmt w:val="bullet"/>
      <w:isLgl w:val="false"/>
      <w:suff w:val="tab"/>
      <w:lvlText w:val="o"/>
      <w:lvlJc w:val="left"/>
      <w:pPr>
        <w:tabs>
          <w:tab w:val="num" w:pos="3600" w:leader="none"/>
        </w:tabs>
        <w:ind w:left="3600" w:hanging="360"/>
      </w:pPr>
      <w:rPr>
        <w:rFonts w:ascii="Courier New" w:hAnsi="Courier New" w:cs="Courier New"/>
      </w:rPr>
    </w:lvl>
    <w:lvl w:ilvl="5">
      <w:start w:val="1"/>
      <w:numFmt w:val="bullet"/>
      <w:isLgl w:val="false"/>
      <w:suff w:val="tab"/>
      <w:lvlText w:val=""/>
      <w:lvlJc w:val="left"/>
      <w:pPr>
        <w:tabs>
          <w:tab w:val="num" w:pos="4320" w:leader="none"/>
        </w:tabs>
        <w:ind w:left="4320" w:hanging="360"/>
      </w:pPr>
      <w:rPr>
        <w:rFonts w:ascii="Wingdings" w:hAnsi="Wingdings"/>
      </w:rPr>
    </w:lvl>
    <w:lvl w:ilvl="6">
      <w:start w:val="1"/>
      <w:numFmt w:val="bullet"/>
      <w:isLgl w:val="false"/>
      <w:suff w:val="tab"/>
      <w:lvlText w:val=""/>
      <w:lvlJc w:val="left"/>
      <w:pPr>
        <w:tabs>
          <w:tab w:val="num" w:pos="5040" w:leader="none"/>
        </w:tabs>
        <w:ind w:left="5040" w:hanging="360"/>
      </w:pPr>
      <w:rPr>
        <w:rFonts w:ascii="Symbol" w:hAnsi="Symbol"/>
      </w:rPr>
    </w:lvl>
    <w:lvl w:ilvl="7">
      <w:start w:val="1"/>
      <w:numFmt w:val="bullet"/>
      <w:isLgl w:val="false"/>
      <w:suff w:val="tab"/>
      <w:lvlText w:val="o"/>
      <w:lvlJc w:val="left"/>
      <w:pPr>
        <w:tabs>
          <w:tab w:val="num" w:pos="5760" w:leader="none"/>
        </w:tabs>
        <w:ind w:left="5760" w:hanging="360"/>
      </w:pPr>
      <w:rPr>
        <w:rFonts w:ascii="Courier New" w:hAnsi="Courier New" w:cs="Courier New"/>
      </w:rPr>
    </w:lvl>
    <w:lvl w:ilvl="8">
      <w:start w:val="1"/>
      <w:numFmt w:val="bullet"/>
      <w:isLgl w:val="false"/>
      <w:suff w:val="tab"/>
      <w:lvlText w:val=""/>
      <w:lvlJc w:val="left"/>
      <w:pPr>
        <w:tabs>
          <w:tab w:val="num" w:pos="6480" w:leader="none"/>
        </w:tabs>
        <w:ind w:left="6480" w:hanging="360"/>
      </w:pPr>
      <w:rPr>
        <w:rFonts w:ascii="Wingdings" w:hAnsi="Wingdings"/>
      </w:rPr>
    </w:lvl>
  </w:abstractNum>
  <w:abstractNum w:abstractNumId="14">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2422" w:hanging="720"/>
      </w:pPr>
      <w:rPr>
        <w:color w:val="000000"/>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15">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2989" w:hanging="720"/>
      </w:pPr>
    </w:lvl>
    <w:lvl w:ilvl="2">
      <w:start w:val="1"/>
      <w:numFmt w:val="decimal"/>
      <w:isLgl w:val="false"/>
      <w:suff w:val="tab"/>
      <w:lvlText w:val="%1.%2.%3."/>
      <w:lvlJc w:val="left"/>
      <w:pPr>
        <w:ind w:left="1080" w:hanging="720"/>
      </w:pPr>
    </w:lvl>
    <w:lvl w:ilvl="3">
      <w:start w:val="1"/>
      <w:numFmt w:val="decimal"/>
      <w:isLgl w:val="false"/>
      <w:suff w:val="tab"/>
      <w:lvlText w:val="%1.%2.%3.%4."/>
      <w:lvlJc w:val="left"/>
      <w:pPr>
        <w:ind w:left="1440"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16">
    <w:multiLevelType w:val="hybridMultilevel"/>
    <w:lvl w:ilvl="0">
      <w:start w:val="6"/>
      <w:numFmt w:val="decimal"/>
      <w:isLgl w:val="false"/>
      <w:suff w:val="tab"/>
      <w:lvlText w:val="%1."/>
      <w:lvlJc w:val="left"/>
      <w:pPr>
        <w:ind w:left="360" w:hanging="360"/>
      </w:pPr>
    </w:lvl>
    <w:lvl w:ilvl="1">
      <w:start w:val="1"/>
      <w:numFmt w:val="decimal"/>
      <w:isLgl w:val="false"/>
      <w:suff w:val="tab"/>
      <w:lvlText w:val="%1.%2."/>
      <w:lvlJc w:val="left"/>
      <w:pPr>
        <w:ind w:left="786" w:hanging="360"/>
      </w:pPr>
    </w:lvl>
    <w:lvl w:ilvl="2">
      <w:start w:val="1"/>
      <w:numFmt w:val="decimal"/>
      <w:isLgl w:val="false"/>
      <w:suff w:val="tab"/>
      <w:lvlText w:val="%1.%2.%3."/>
      <w:lvlJc w:val="left"/>
      <w:pPr>
        <w:ind w:left="2422" w:hanging="720"/>
      </w:pPr>
    </w:lvl>
    <w:lvl w:ilvl="3">
      <w:start w:val="1"/>
      <w:numFmt w:val="decimal"/>
      <w:isLgl w:val="false"/>
      <w:suff w:val="tab"/>
      <w:lvlText w:val="%1.%2.%3.%4."/>
      <w:lvlJc w:val="left"/>
      <w:pPr>
        <w:ind w:left="3273" w:hanging="72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335" w:hanging="1080"/>
      </w:pPr>
    </w:lvl>
    <w:lvl w:ilvl="6">
      <w:start w:val="1"/>
      <w:numFmt w:val="decimal"/>
      <w:isLgl w:val="false"/>
      <w:suff w:val="tab"/>
      <w:lvlText w:val="%1.%2.%3.%4.%5.%6.%7."/>
      <w:lvlJc w:val="left"/>
      <w:pPr>
        <w:ind w:left="6546" w:hanging="1440"/>
      </w:pPr>
    </w:lvl>
    <w:lvl w:ilvl="7">
      <w:start w:val="1"/>
      <w:numFmt w:val="decimal"/>
      <w:isLgl w:val="false"/>
      <w:suff w:val="tab"/>
      <w:lvlText w:val="%1.%2.%3.%4.%5.%6.%7.%8."/>
      <w:lvlJc w:val="left"/>
      <w:pPr>
        <w:ind w:left="7397" w:hanging="1440"/>
      </w:pPr>
    </w:lvl>
    <w:lvl w:ilvl="8">
      <w:start w:val="1"/>
      <w:numFmt w:val="decimal"/>
      <w:isLgl w:val="false"/>
      <w:suff w:val="tab"/>
      <w:lvlText w:val="%1.%2.%3.%4.%5.%6.%7.%8.%9."/>
      <w:lvlJc w:val="left"/>
      <w:pPr>
        <w:ind w:left="8608" w:hanging="1800"/>
      </w:pPr>
    </w:lvl>
  </w:abstractNum>
  <w:abstractNum w:abstractNumId="17">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18">
    <w:multiLevelType w:val="hybridMultilevel"/>
    <w:lvl w:ilvl="0">
      <w:start w:val="1"/>
      <w:numFmt w:val="bullet"/>
      <w:isLgl w:val="false"/>
      <w:suff w:val="tab"/>
      <w:lvlText w:val=""/>
      <w:lvlJc w:val="left"/>
      <w:pPr>
        <w:ind w:left="502" w:hanging="360"/>
      </w:pPr>
      <w:rPr>
        <w:rFonts w:ascii="Symbol" w:hAnsi="Symbol"/>
      </w:rPr>
    </w:lvl>
    <w:lvl w:ilvl="1">
      <w:start w:val="1"/>
      <w:numFmt w:val="bullet"/>
      <w:isLgl w:val="false"/>
      <w:suff w:val="tab"/>
      <w:lvlText w:val="o"/>
      <w:lvlJc w:val="left"/>
      <w:pPr>
        <w:ind w:left="1222" w:hanging="360"/>
      </w:pPr>
      <w:rPr>
        <w:rFonts w:ascii="Courier New" w:hAnsi="Courier New" w:cs="Courier New"/>
      </w:rPr>
    </w:lvl>
    <w:lvl w:ilvl="2">
      <w:start w:val="1"/>
      <w:numFmt w:val="bullet"/>
      <w:isLgl w:val="false"/>
      <w:suff w:val="tab"/>
      <w:lvlText w:val=""/>
      <w:lvlJc w:val="left"/>
      <w:pPr>
        <w:ind w:left="1942" w:hanging="360"/>
      </w:pPr>
      <w:rPr>
        <w:rFonts w:ascii="Wingdings" w:hAnsi="Wingdings"/>
      </w:rPr>
    </w:lvl>
    <w:lvl w:ilvl="3">
      <w:start w:val="1"/>
      <w:numFmt w:val="bullet"/>
      <w:isLgl w:val="false"/>
      <w:suff w:val="tab"/>
      <w:lvlText w:val=""/>
      <w:lvlJc w:val="left"/>
      <w:pPr>
        <w:ind w:left="2662" w:hanging="360"/>
      </w:pPr>
      <w:rPr>
        <w:rFonts w:ascii="Symbol" w:hAnsi="Symbol"/>
      </w:rPr>
    </w:lvl>
    <w:lvl w:ilvl="4">
      <w:start w:val="1"/>
      <w:numFmt w:val="bullet"/>
      <w:isLgl w:val="false"/>
      <w:suff w:val="tab"/>
      <w:lvlText w:val="o"/>
      <w:lvlJc w:val="left"/>
      <w:pPr>
        <w:ind w:left="3382" w:hanging="360"/>
      </w:pPr>
      <w:rPr>
        <w:rFonts w:ascii="Courier New" w:hAnsi="Courier New" w:cs="Courier New"/>
      </w:rPr>
    </w:lvl>
    <w:lvl w:ilvl="5">
      <w:start w:val="1"/>
      <w:numFmt w:val="bullet"/>
      <w:isLgl w:val="false"/>
      <w:suff w:val="tab"/>
      <w:lvlText w:val=""/>
      <w:lvlJc w:val="left"/>
      <w:pPr>
        <w:ind w:left="4102" w:hanging="360"/>
      </w:pPr>
      <w:rPr>
        <w:rFonts w:ascii="Wingdings" w:hAnsi="Wingdings"/>
      </w:rPr>
    </w:lvl>
    <w:lvl w:ilvl="6">
      <w:start w:val="1"/>
      <w:numFmt w:val="bullet"/>
      <w:isLgl w:val="false"/>
      <w:suff w:val="tab"/>
      <w:lvlText w:val=""/>
      <w:lvlJc w:val="left"/>
      <w:pPr>
        <w:ind w:left="4822" w:hanging="360"/>
      </w:pPr>
      <w:rPr>
        <w:rFonts w:ascii="Symbol" w:hAnsi="Symbol"/>
      </w:rPr>
    </w:lvl>
    <w:lvl w:ilvl="7">
      <w:start w:val="1"/>
      <w:numFmt w:val="bullet"/>
      <w:isLgl w:val="false"/>
      <w:suff w:val="tab"/>
      <w:lvlText w:val="o"/>
      <w:lvlJc w:val="left"/>
      <w:pPr>
        <w:ind w:left="5542" w:hanging="360"/>
      </w:pPr>
      <w:rPr>
        <w:rFonts w:ascii="Courier New" w:hAnsi="Courier New" w:cs="Courier New"/>
      </w:rPr>
    </w:lvl>
    <w:lvl w:ilvl="8">
      <w:start w:val="1"/>
      <w:numFmt w:val="bullet"/>
      <w:isLgl w:val="false"/>
      <w:suff w:val="tab"/>
      <w:lvlText w:val=""/>
      <w:lvlJc w:val="left"/>
      <w:pPr>
        <w:ind w:left="6262" w:hanging="360"/>
      </w:pPr>
      <w:rPr>
        <w:rFonts w:ascii="Wingdings" w:hAnsi="Wingdings"/>
      </w:rPr>
    </w:lvl>
  </w:abstractNum>
  <w:abstractNum w:abstractNumId="19">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20">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1">
    <w:multiLevelType w:val="hybridMultilevel"/>
    <w:lvl w:ilvl="0">
      <w:start w:val="2"/>
      <w:numFmt w:val="decimal"/>
      <w:isLgl w:val="false"/>
      <w:suff w:val="tab"/>
      <w:lvlText w:val="%1."/>
      <w:lvlJc w:val="left"/>
      <w:pPr>
        <w:ind w:left="450" w:hanging="450"/>
      </w:pPr>
    </w:lvl>
    <w:lvl w:ilvl="1">
      <w:start w:val="1"/>
      <w:numFmt w:val="decimal"/>
      <w:isLgl w:val="false"/>
      <w:suff w:val="tab"/>
      <w:lvlText w:val="%1.%2."/>
      <w:lvlJc w:val="left"/>
      <w:pPr>
        <w:ind w:left="1571" w:hanging="720"/>
      </w:pPr>
      <w:rPr>
        <w:color w:val="000000"/>
      </w:rPr>
    </w:lvl>
    <w:lvl w:ilvl="2">
      <w:start w:val="1"/>
      <w:numFmt w:val="decimal"/>
      <w:isLgl w:val="false"/>
      <w:suff w:val="tab"/>
      <w:lvlText w:val="%1.%2.%3."/>
      <w:lvlJc w:val="left"/>
      <w:pPr>
        <w:ind w:left="5824" w:hanging="720"/>
      </w:pPr>
      <w:rPr>
        <w:color w:val="000000"/>
        <w:highlight w:val="white"/>
      </w:r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22">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5824" w:hanging="720"/>
      </w:pPr>
      <w:rPr>
        <w:color w:val="000000"/>
      </w:rPr>
    </w:lvl>
    <w:lvl w:ilvl="2">
      <w:start w:val="1"/>
      <w:numFmt w:val="decimal"/>
      <w:isLgl w:val="false"/>
      <w:suff w:val="tab"/>
      <w:lvlText w:val="%1.%2.%3."/>
      <w:lvlJc w:val="left"/>
      <w:pPr>
        <w:ind w:left="1080" w:hanging="720"/>
      </w:pPr>
    </w:lvl>
    <w:lvl w:ilvl="3">
      <w:start w:val="1"/>
      <w:numFmt w:val="decimal"/>
      <w:isLgl w:val="false"/>
      <w:suff w:val="tab"/>
      <w:lvlText w:val="%1.%2.%3.%4."/>
      <w:lvlJc w:val="left"/>
      <w:pPr>
        <w:ind w:left="1440"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num w:numId="1">
    <w:abstractNumId w:val="18"/>
  </w:num>
  <w:num w:numId="2">
    <w:abstractNumId w:val="7"/>
  </w:num>
  <w:num w:numId="3">
    <w:abstractNumId w:val="0"/>
  </w:num>
  <w:num w:numId="4">
    <w:abstractNumId w:val="17"/>
  </w:num>
  <w:num w:numId="5">
    <w:abstractNumId w:val="5"/>
  </w:num>
  <w:num w:numId="6">
    <w:abstractNumId w:val="16"/>
  </w:num>
  <w:num w:numId="7">
    <w:abstractNumId w:val="14"/>
  </w:num>
  <w:num w:numId="8">
    <w:abstractNumId w:val="15"/>
  </w:num>
  <w:num w:numId="9">
    <w:abstractNumId w:val="6"/>
  </w:num>
  <w:num w:numId="10">
    <w:abstractNumId w:val="20"/>
  </w:num>
  <w:num w:numId="11">
    <w:abstractNumId w:val="2"/>
  </w:num>
  <w:num w:numId="12">
    <w:abstractNumId w:val="21"/>
  </w:num>
  <w:num w:numId="13">
    <w:abstractNumId w:val="9"/>
  </w:num>
  <w:num w:numId="14">
    <w:abstractNumId w:val="12"/>
  </w:num>
  <w:num w:numId="15">
    <w:abstractNumId w:val="10"/>
  </w:num>
  <w:num w:numId="16">
    <w:abstractNumId w:val="3"/>
  </w:num>
  <w:num w:numId="17">
    <w:abstractNumId w:val="13"/>
  </w:num>
  <w:num w:numId="18">
    <w:abstractNumId w:val="4"/>
  </w:num>
  <w:num w:numId="19">
    <w:abstractNumId w:val="11"/>
  </w:num>
  <w:num w:numId="20">
    <w:abstractNumId w:val="19"/>
  </w:num>
  <w:num w:numId="21">
    <w:abstractNumId w:val="22"/>
  </w:num>
  <w:num w:numId="22">
    <w:abstractNumId w:val="8"/>
  </w:num>
  <w:num w:numId="23">
    <w:abstractNumId w:val="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73"/>
    <w:next w:val="673"/>
    <w:link w:val="14"/>
    <w:uiPriority w:val="9"/>
    <w:qFormat/>
    <w:pPr>
      <w:keepNext/>
      <w:keepLines/>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73"/>
    <w:next w:val="673"/>
    <w:link w:val="16"/>
    <w:uiPriority w:val="9"/>
    <w:unhideWhenUsed/>
    <w:qFormat/>
    <w:pPr>
      <w:keepNext/>
      <w:keepLines/>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73"/>
    <w:next w:val="673"/>
    <w:link w:val="18"/>
    <w:uiPriority w:val="9"/>
    <w:unhideWhenUsed/>
    <w:qFormat/>
    <w:pPr>
      <w:keepNext/>
      <w:keepLines/>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73"/>
    <w:next w:val="673"/>
    <w:link w:val="20"/>
    <w:uiPriority w:val="9"/>
    <w:unhideWhenUsed/>
    <w:qFormat/>
    <w:pPr>
      <w:keepNext/>
      <w:keepLines/>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73"/>
    <w:next w:val="673"/>
    <w:link w:val="22"/>
    <w:uiPriority w:val="9"/>
    <w:unhideWhenUsed/>
    <w:qFormat/>
    <w:pPr>
      <w:keepNext/>
      <w:keepLines/>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73"/>
    <w:next w:val="673"/>
    <w:link w:val="24"/>
    <w:uiPriority w:val="9"/>
    <w:unhideWhenUsed/>
    <w:qFormat/>
    <w:pPr>
      <w:keepNext/>
      <w:keepLines/>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73"/>
    <w:next w:val="673"/>
    <w:link w:val="26"/>
    <w:uiPriority w:val="9"/>
    <w:unhideWhenUsed/>
    <w:qFormat/>
    <w:pPr>
      <w:keepNext/>
      <w:keepLines/>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73"/>
    <w:next w:val="673"/>
    <w:link w:val="28"/>
    <w:uiPriority w:val="9"/>
    <w:unhideWhenUsed/>
    <w:qFormat/>
    <w:pPr>
      <w:keepNext/>
      <w:keepLines/>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73"/>
    <w:next w:val="673"/>
    <w:link w:val="30"/>
    <w:uiPriority w:val="9"/>
    <w:unhideWhenUsed/>
    <w:qFormat/>
    <w:pPr>
      <w:keepNext/>
      <w:keepLines/>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673"/>
    <w:uiPriority w:val="34"/>
    <w:qFormat/>
    <w:pPr>
      <w:ind w:left="720"/>
      <w:contextualSpacing/>
    </w:pPr>
  </w:style>
  <w:style w:type="paragraph" w:styleId="33">
    <w:name w:val="No Spacing"/>
    <w:uiPriority w:val="1"/>
    <w:qFormat/>
    <w:pPr>
      <w:spacing w:before="0" w:after="0" w:line="240" w:lineRule="auto"/>
    </w:pPr>
  </w:style>
  <w:style w:type="paragraph" w:styleId="34">
    <w:name w:val="Title"/>
    <w:basedOn w:val="673"/>
    <w:next w:val="673"/>
    <w:link w:val="35"/>
    <w:uiPriority w:val="10"/>
    <w:qFormat/>
    <w:pPr>
      <w:spacing w:before="300" w:after="200"/>
      <w:contextualSpacing/>
    </w:pPr>
    <w:rPr>
      <w:sz w:val="48"/>
      <w:szCs w:val="48"/>
    </w:rPr>
  </w:style>
  <w:style w:type="character" w:styleId="35">
    <w:name w:val="Title Char"/>
    <w:basedOn w:val="11"/>
    <w:link w:val="34"/>
    <w:uiPriority w:val="10"/>
    <w:rPr>
      <w:sz w:val="48"/>
      <w:szCs w:val="48"/>
    </w:rPr>
  </w:style>
  <w:style w:type="paragraph" w:styleId="36">
    <w:name w:val="Subtitle"/>
    <w:basedOn w:val="673"/>
    <w:next w:val="673"/>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73"/>
    <w:next w:val="673"/>
    <w:link w:val="39"/>
    <w:uiPriority w:val="29"/>
    <w:qFormat/>
    <w:pPr>
      <w:ind w:left="720" w:right="720"/>
    </w:pPr>
    <w:rPr>
      <w:i/>
    </w:rPr>
  </w:style>
  <w:style w:type="character" w:styleId="39">
    <w:name w:val="Quote Char"/>
    <w:link w:val="38"/>
    <w:uiPriority w:val="29"/>
    <w:rPr>
      <w:i/>
    </w:rPr>
  </w:style>
  <w:style w:type="paragraph" w:styleId="40">
    <w:name w:val="Intense Quote"/>
    <w:basedOn w:val="673"/>
    <w:next w:val="673"/>
    <w:link w:val="41"/>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41">
    <w:name w:val="Intense Quote Char"/>
    <w:link w:val="40"/>
    <w:uiPriority w:val="30"/>
    <w:rPr>
      <w:i/>
    </w:rPr>
  </w:style>
  <w:style w:type="paragraph" w:styleId="42">
    <w:name w:val="Header"/>
    <w:basedOn w:val="673"/>
    <w:link w:val="43"/>
    <w:uiPriority w:val="99"/>
    <w:unhideWhenUsed/>
    <w:pPr>
      <w:tabs>
        <w:tab w:val="center" w:pos="7143" w:leader="none"/>
        <w:tab w:val="right" w:pos="14287" w:leader="none"/>
      </w:tabs>
      <w:spacing w:after="0" w:line="240" w:lineRule="auto"/>
    </w:pPr>
  </w:style>
  <w:style w:type="character" w:styleId="43">
    <w:name w:val="Header Char"/>
    <w:basedOn w:val="11"/>
    <w:link w:val="42"/>
    <w:uiPriority w:val="99"/>
  </w:style>
  <w:style w:type="paragraph" w:styleId="44">
    <w:name w:val="Footer"/>
    <w:basedOn w:val="673"/>
    <w:link w:val="706"/>
    <w:uiPriority w:val="99"/>
    <w:unhideWhenUsed/>
    <w:pPr>
      <w:tabs>
        <w:tab w:val="center" w:pos="7143" w:leader="none"/>
        <w:tab w:val="right" w:pos="14287" w:leader="none"/>
      </w:tabs>
      <w:spacing w:after="0" w:line="240" w:lineRule="auto"/>
    </w:pPr>
  </w:style>
  <w:style w:type="paragraph" w:styleId="46">
    <w:name w:val="Caption"/>
    <w:basedOn w:val="673"/>
    <w:next w:val="673"/>
    <w:link w:val="47"/>
    <w:uiPriority w:val="35"/>
    <w:semiHidden/>
    <w:unhideWhenUsed/>
    <w:qFormat/>
    <w:pPr>
      <w:spacing w:line="276" w:lineRule="auto"/>
    </w:pPr>
    <w:rPr>
      <w:b/>
      <w:bCs/>
      <w:color w:val="4f81bd" w:themeColor="accent1"/>
      <w:sz w:val="18"/>
      <w:szCs w:val="18"/>
    </w:rPr>
  </w:style>
  <w:style w:type="character" w:styleId="47">
    <w:name w:val="Caption Char"/>
    <w:basedOn w:val="11"/>
    <w:link w:val="46"/>
    <w:uiPriority w:val="35"/>
    <w:rPr>
      <w:b/>
      <w:bCs/>
      <w:color w:val="4f81bd" w:themeColor="accent1"/>
      <w:sz w:val="18"/>
      <w:szCs w:val="18"/>
    </w:rPr>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left w:val="none"/>
          <w:bottom w:val="none"/>
          <w:right w:val="single" w:color="000000" w:themeColor="text1" w:themeTint="80" w:sz="4" w:space="0"/>
        </w:tcBorders>
        <w:shd w:color="ffffff"/>
      </w:tcPr>
    </w:tblStylePr>
    <w:tblStylePr w:type="firstRow">
      <w:rPr>
        <w:rFonts w:ascii="Arial" w:hAnsi="Arial"/>
        <w:b/>
        <w:color w:val="4a4a4a" w:themeColor="text1" w:themeTint="80" w:themeShade="95"/>
        <w:sz w:val="22"/>
      </w:rPr>
      <w:tcPr>
        <w:tcBorders>
          <w:top w:val="none"/>
          <w:left w:val="none"/>
          <w:bottom w:val="single" w:color="000000" w:themeColor="text1" w:themeTint="80" w:sz="4" w:space="0"/>
          <w:right w:val="none"/>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left w:val="single" w:color="000000" w:themeColor="text1" w:themeTint="80" w:sz="4" w:space="0"/>
          <w:bottom w:val="none"/>
          <w:right w:val="none"/>
        </w:tcBorders>
        <w:shd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bottom w:val="none"/>
          <w:right w:val="none"/>
        </w:tcBorders>
        <w:shd w:val="clear" w:color="ffffff" w:themeColor="light1" w:fill="ffffff" w:themeFill="light1"/>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left w:val="none"/>
          <w:bottom w:val="none"/>
          <w:right w:val="single" w:color="000000" w:themeColor="text1" w:themeTint="80" w:sz="4" w:space="0"/>
        </w:tcBorders>
        <w:shd w:color="ffffff"/>
      </w:tcPr>
    </w:tblStylePr>
    <w:tblStylePr w:type="firstRow">
      <w:rPr>
        <w:rFonts w:ascii="Arial" w:hAnsi="Arial"/>
        <w:i/>
        <w:color w:val="4a4a4a" w:themeColor="text1" w:themeTint="80" w:themeShade="95"/>
        <w:sz w:val="22"/>
      </w:rPr>
      <w:tcPr>
        <w:tcBorders>
          <w:top w:val="none"/>
          <w:left w:val="none"/>
          <w:bottom w:val="single" w:color="000000" w:themeColor="text1" w:themeTint="80" w:sz="4" w:space="0"/>
          <w:right w:val="none"/>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left w:val="single" w:color="000000" w:themeColor="text1" w:themeTint="80" w:sz="4" w:space="0"/>
          <w:bottom w:val="none"/>
          <w:right w:val="none"/>
        </w:tcBorders>
        <w:shd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bottom w:val="none"/>
          <w:right w:val="none"/>
        </w:tcBorders>
        <w:shd w:val="clear" w:color="ffffff" w:themeColor="light1" w:fill="ffffff" w:themeFill="light1"/>
      </w:tcPr>
    </w:tblStylePr>
    <w:tblStylePr w:type="wholeTable">
      <w:rPr>
        <w:rFonts w:ascii="Arial" w:hAnsi="Arial"/>
        <w:color w:val="4a4a4a" w:themeColor="text1" w:themeTint="80" w:themeShade="95"/>
        <w:sz w:val="22"/>
      </w:rPr>
    </w:tblStylePr>
  </w:style>
  <w:style w:type="character" w:styleId="174">
    <w:name w:val="Hyperlink"/>
    <w:uiPriority w:val="99"/>
    <w:unhideWhenUsed/>
    <w:rPr>
      <w:color w:val="0000ff" w:themeColor="hyperlink"/>
      <w:u w:val="single"/>
    </w:rPr>
  </w:style>
  <w:style w:type="paragraph" w:styleId="175">
    <w:name w:val="footnote text"/>
    <w:basedOn w:val="673"/>
    <w:link w:val="836"/>
    <w:uiPriority w:val="99"/>
    <w:semiHidden/>
    <w:unhideWhenUsed/>
    <w:pPr>
      <w:spacing w:after="40" w:line="240" w:lineRule="auto"/>
    </w:pPr>
    <w:rPr>
      <w:sz w:val="18"/>
    </w:rPr>
  </w:style>
  <w:style w:type="character" w:styleId="177">
    <w:name w:val="footnote reference"/>
    <w:basedOn w:val="11"/>
    <w:uiPriority w:val="99"/>
    <w:unhideWhenUsed/>
    <w:rPr>
      <w:vertAlign w:val="superscript"/>
    </w:rPr>
  </w:style>
  <w:style w:type="paragraph" w:styleId="178">
    <w:name w:val="endnote text"/>
    <w:basedOn w:val="673"/>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73"/>
    <w:next w:val="673"/>
    <w:uiPriority w:val="39"/>
    <w:unhideWhenUsed/>
    <w:pPr>
      <w:spacing w:after="57"/>
      <w:ind w:left="0" w:right="0" w:firstLine="0"/>
    </w:pPr>
  </w:style>
  <w:style w:type="paragraph" w:styleId="182">
    <w:name w:val="toc 2"/>
    <w:basedOn w:val="673"/>
    <w:next w:val="673"/>
    <w:uiPriority w:val="39"/>
    <w:unhideWhenUsed/>
    <w:pPr>
      <w:spacing w:after="57"/>
      <w:ind w:left="283" w:right="0" w:firstLine="0"/>
    </w:pPr>
  </w:style>
  <w:style w:type="paragraph" w:styleId="183">
    <w:name w:val="toc 3"/>
    <w:basedOn w:val="673"/>
    <w:next w:val="673"/>
    <w:uiPriority w:val="39"/>
    <w:unhideWhenUsed/>
    <w:pPr>
      <w:spacing w:after="57"/>
      <w:ind w:left="567" w:right="0" w:firstLine="0"/>
    </w:pPr>
  </w:style>
  <w:style w:type="paragraph" w:styleId="184">
    <w:name w:val="toc 4"/>
    <w:basedOn w:val="673"/>
    <w:next w:val="673"/>
    <w:uiPriority w:val="39"/>
    <w:unhideWhenUsed/>
    <w:pPr>
      <w:spacing w:after="57"/>
      <w:ind w:left="850" w:right="0" w:firstLine="0"/>
    </w:pPr>
  </w:style>
  <w:style w:type="paragraph" w:styleId="185">
    <w:name w:val="toc 5"/>
    <w:basedOn w:val="673"/>
    <w:next w:val="673"/>
    <w:uiPriority w:val="39"/>
    <w:unhideWhenUsed/>
    <w:pPr>
      <w:spacing w:after="57"/>
      <w:ind w:left="1134" w:right="0" w:firstLine="0"/>
    </w:pPr>
  </w:style>
  <w:style w:type="paragraph" w:styleId="186">
    <w:name w:val="toc 6"/>
    <w:basedOn w:val="673"/>
    <w:next w:val="673"/>
    <w:uiPriority w:val="39"/>
    <w:unhideWhenUsed/>
    <w:pPr>
      <w:spacing w:after="57"/>
      <w:ind w:left="1417" w:right="0" w:firstLine="0"/>
    </w:pPr>
  </w:style>
  <w:style w:type="paragraph" w:styleId="187">
    <w:name w:val="toc 7"/>
    <w:basedOn w:val="673"/>
    <w:next w:val="673"/>
    <w:uiPriority w:val="39"/>
    <w:unhideWhenUsed/>
    <w:pPr>
      <w:spacing w:after="57"/>
      <w:ind w:left="1701" w:right="0" w:firstLine="0"/>
    </w:pPr>
  </w:style>
  <w:style w:type="paragraph" w:styleId="188">
    <w:name w:val="toc 8"/>
    <w:basedOn w:val="673"/>
    <w:next w:val="673"/>
    <w:uiPriority w:val="39"/>
    <w:unhideWhenUsed/>
    <w:pPr>
      <w:spacing w:after="57"/>
      <w:ind w:left="1984" w:right="0" w:firstLine="0"/>
    </w:pPr>
  </w:style>
  <w:style w:type="paragraph" w:styleId="189">
    <w:name w:val="toc 9"/>
    <w:basedOn w:val="673"/>
    <w:next w:val="673"/>
    <w:uiPriority w:val="39"/>
    <w:unhideWhenUsed/>
    <w:pPr>
      <w:spacing w:after="57"/>
      <w:ind w:left="2268" w:right="0" w:firstLine="0"/>
    </w:pPr>
  </w:style>
  <w:style w:type="paragraph" w:styleId="190">
    <w:name w:val="TOC Heading"/>
    <w:uiPriority w:val="39"/>
    <w:unhideWhenUsed/>
  </w:style>
  <w:style w:type="paragraph" w:styleId="191">
    <w:name w:val="table of figures"/>
    <w:basedOn w:val="673"/>
    <w:next w:val="673"/>
    <w:uiPriority w:val="99"/>
    <w:unhideWhenUsed/>
    <w:pPr>
      <w:spacing w:after="0" w:afterAutospacing="0"/>
    </w:pPr>
  </w:style>
  <w:style w:type="paragraph" w:styleId="673" w:default="1">
    <w:name w:val="Normal"/>
    <w:next w:val="673"/>
    <w:link w:val="673"/>
    <w:qFormat/>
    <w:pPr>
      <w:spacing w:after="160" w:line="259" w:lineRule="auto"/>
    </w:pPr>
    <w:rPr>
      <w:sz w:val="22"/>
      <w:szCs w:val="22"/>
      <w:lang w:val="ru-RU" w:eastAsia="en-US" w:bidi="ar-SA"/>
    </w:rPr>
  </w:style>
  <w:style w:type="paragraph" w:styleId="674">
    <w:name w:val="Заголовок 1"/>
    <w:basedOn w:val="673"/>
    <w:next w:val="673"/>
    <w:link w:val="686"/>
    <w:uiPriority w:val="9"/>
    <w:qFormat/>
    <w:pPr>
      <w:keepNext/>
      <w:keepLines/>
      <w:spacing w:before="480" w:after="200"/>
      <w:outlineLvl w:val="0"/>
    </w:pPr>
    <w:rPr>
      <w:rFonts w:ascii="Arial" w:hAnsi="Arial" w:eastAsia="Arial" w:cs="Arial"/>
      <w:sz w:val="40"/>
      <w:szCs w:val="40"/>
    </w:rPr>
  </w:style>
  <w:style w:type="paragraph" w:styleId="675">
    <w:name w:val="Заголовок 2"/>
    <w:basedOn w:val="673"/>
    <w:next w:val="673"/>
    <w:link w:val="687"/>
    <w:uiPriority w:val="9"/>
    <w:unhideWhenUsed/>
    <w:qFormat/>
    <w:pPr>
      <w:keepNext/>
      <w:keepLines/>
      <w:spacing w:before="360" w:after="200"/>
      <w:outlineLvl w:val="1"/>
    </w:pPr>
    <w:rPr>
      <w:rFonts w:ascii="Arial" w:hAnsi="Arial" w:eastAsia="Arial" w:cs="Arial"/>
      <w:sz w:val="34"/>
    </w:rPr>
  </w:style>
  <w:style w:type="paragraph" w:styleId="676">
    <w:name w:val="Заголовок 3"/>
    <w:basedOn w:val="673"/>
    <w:next w:val="673"/>
    <w:link w:val="688"/>
    <w:uiPriority w:val="9"/>
    <w:unhideWhenUsed/>
    <w:qFormat/>
    <w:pPr>
      <w:keepNext/>
      <w:keepLines/>
      <w:spacing w:before="320" w:after="200"/>
      <w:outlineLvl w:val="2"/>
    </w:pPr>
    <w:rPr>
      <w:rFonts w:ascii="Arial" w:hAnsi="Arial" w:eastAsia="Arial" w:cs="Arial"/>
      <w:sz w:val="30"/>
      <w:szCs w:val="30"/>
    </w:rPr>
  </w:style>
  <w:style w:type="paragraph" w:styleId="677">
    <w:name w:val="Заголовок 4"/>
    <w:basedOn w:val="673"/>
    <w:next w:val="673"/>
    <w:link w:val="689"/>
    <w:uiPriority w:val="9"/>
    <w:unhideWhenUsed/>
    <w:qFormat/>
    <w:pPr>
      <w:keepNext/>
      <w:keepLines/>
      <w:spacing w:before="320" w:after="200"/>
      <w:outlineLvl w:val="3"/>
    </w:pPr>
    <w:rPr>
      <w:rFonts w:ascii="Arial" w:hAnsi="Arial" w:eastAsia="Arial" w:cs="Arial"/>
      <w:b/>
      <w:bCs/>
      <w:sz w:val="26"/>
      <w:szCs w:val="26"/>
    </w:rPr>
  </w:style>
  <w:style w:type="paragraph" w:styleId="678">
    <w:name w:val="Заголовок 5"/>
    <w:basedOn w:val="673"/>
    <w:next w:val="673"/>
    <w:link w:val="690"/>
    <w:uiPriority w:val="9"/>
    <w:unhideWhenUsed/>
    <w:qFormat/>
    <w:pPr>
      <w:keepNext/>
      <w:keepLines/>
      <w:spacing w:before="320" w:after="200"/>
      <w:outlineLvl w:val="4"/>
    </w:pPr>
    <w:rPr>
      <w:rFonts w:ascii="Arial" w:hAnsi="Arial" w:eastAsia="Arial" w:cs="Arial"/>
      <w:b/>
      <w:bCs/>
      <w:sz w:val="24"/>
      <w:szCs w:val="24"/>
    </w:rPr>
  </w:style>
  <w:style w:type="paragraph" w:styleId="679">
    <w:name w:val="Заголовок 6"/>
    <w:basedOn w:val="673"/>
    <w:next w:val="673"/>
    <w:link w:val="691"/>
    <w:uiPriority w:val="9"/>
    <w:unhideWhenUsed/>
    <w:qFormat/>
    <w:pPr>
      <w:keepNext/>
      <w:keepLines/>
      <w:spacing w:before="320" w:after="200"/>
      <w:outlineLvl w:val="5"/>
    </w:pPr>
    <w:rPr>
      <w:rFonts w:ascii="Arial" w:hAnsi="Arial" w:eastAsia="Arial" w:cs="Arial"/>
      <w:b/>
      <w:bCs/>
    </w:rPr>
  </w:style>
  <w:style w:type="paragraph" w:styleId="680">
    <w:name w:val="Заголовок 7"/>
    <w:basedOn w:val="673"/>
    <w:next w:val="673"/>
    <w:link w:val="692"/>
    <w:uiPriority w:val="9"/>
    <w:unhideWhenUsed/>
    <w:qFormat/>
    <w:pPr>
      <w:keepNext/>
      <w:keepLines/>
      <w:spacing w:before="320" w:after="200"/>
      <w:outlineLvl w:val="6"/>
    </w:pPr>
    <w:rPr>
      <w:rFonts w:ascii="Arial" w:hAnsi="Arial" w:eastAsia="Arial" w:cs="Arial"/>
      <w:b/>
      <w:bCs/>
      <w:i/>
      <w:iCs/>
    </w:rPr>
  </w:style>
  <w:style w:type="paragraph" w:styleId="681">
    <w:name w:val="Заголовок 8"/>
    <w:basedOn w:val="673"/>
    <w:next w:val="673"/>
    <w:link w:val="693"/>
    <w:uiPriority w:val="9"/>
    <w:unhideWhenUsed/>
    <w:qFormat/>
    <w:pPr>
      <w:keepNext/>
      <w:keepLines/>
      <w:spacing w:before="320" w:after="200"/>
      <w:outlineLvl w:val="7"/>
    </w:pPr>
    <w:rPr>
      <w:rFonts w:ascii="Arial" w:hAnsi="Arial" w:eastAsia="Arial" w:cs="Arial"/>
      <w:i/>
      <w:iCs/>
    </w:rPr>
  </w:style>
  <w:style w:type="paragraph" w:styleId="682">
    <w:name w:val="Заголовок 9"/>
    <w:basedOn w:val="673"/>
    <w:next w:val="673"/>
    <w:link w:val="694"/>
    <w:uiPriority w:val="9"/>
    <w:unhideWhenUsed/>
    <w:qFormat/>
    <w:pPr>
      <w:keepNext/>
      <w:keepLines/>
      <w:spacing w:before="320" w:after="200"/>
      <w:outlineLvl w:val="8"/>
    </w:pPr>
    <w:rPr>
      <w:rFonts w:ascii="Arial" w:hAnsi="Arial" w:eastAsia="Arial" w:cs="Arial"/>
      <w:i/>
      <w:iCs/>
      <w:sz w:val="21"/>
      <w:szCs w:val="21"/>
    </w:rPr>
  </w:style>
  <w:style w:type="character" w:styleId="683">
    <w:name w:val="Основной шрифт абзаца"/>
    <w:next w:val="683"/>
    <w:link w:val="673"/>
    <w:uiPriority w:val="1"/>
    <w:semiHidden/>
    <w:unhideWhenUsed/>
  </w:style>
  <w:style w:type="table" w:styleId="684">
    <w:name w:val="Обычная таблица"/>
    <w:next w:val="684"/>
    <w:link w:val="673"/>
    <w:uiPriority w:val="99"/>
    <w:semiHidden/>
    <w:unhideWhenUsed/>
    <w:tblPr/>
  </w:style>
  <w:style w:type="numbering" w:styleId="685">
    <w:name w:val="Нет списка"/>
    <w:next w:val="685"/>
    <w:link w:val="673"/>
    <w:uiPriority w:val="99"/>
    <w:semiHidden/>
    <w:unhideWhenUsed/>
  </w:style>
  <w:style w:type="character" w:styleId="686">
    <w:name w:val="Заголовок 1 Знак"/>
    <w:next w:val="686"/>
    <w:link w:val="674"/>
    <w:uiPriority w:val="9"/>
    <w:rPr>
      <w:rFonts w:ascii="Arial" w:hAnsi="Arial" w:eastAsia="Arial" w:cs="Arial"/>
      <w:sz w:val="40"/>
      <w:szCs w:val="40"/>
    </w:rPr>
  </w:style>
  <w:style w:type="character" w:styleId="687">
    <w:name w:val="Заголовок 2 Знак"/>
    <w:next w:val="687"/>
    <w:link w:val="675"/>
    <w:uiPriority w:val="9"/>
    <w:rPr>
      <w:rFonts w:ascii="Arial" w:hAnsi="Arial" w:eastAsia="Arial" w:cs="Arial"/>
      <w:sz w:val="34"/>
    </w:rPr>
  </w:style>
  <w:style w:type="character" w:styleId="688">
    <w:name w:val="Заголовок 3 Знак"/>
    <w:next w:val="688"/>
    <w:link w:val="676"/>
    <w:uiPriority w:val="9"/>
    <w:rPr>
      <w:rFonts w:ascii="Arial" w:hAnsi="Arial" w:eastAsia="Arial" w:cs="Arial"/>
      <w:sz w:val="30"/>
      <w:szCs w:val="30"/>
    </w:rPr>
  </w:style>
  <w:style w:type="character" w:styleId="689">
    <w:name w:val="Заголовок 4 Знак"/>
    <w:next w:val="689"/>
    <w:link w:val="677"/>
    <w:uiPriority w:val="9"/>
    <w:rPr>
      <w:rFonts w:ascii="Arial" w:hAnsi="Arial" w:eastAsia="Arial" w:cs="Arial"/>
      <w:b/>
      <w:bCs/>
      <w:sz w:val="26"/>
      <w:szCs w:val="26"/>
    </w:rPr>
  </w:style>
  <w:style w:type="character" w:styleId="690">
    <w:name w:val="Заголовок 5 Знак"/>
    <w:next w:val="690"/>
    <w:link w:val="678"/>
    <w:uiPriority w:val="9"/>
    <w:rPr>
      <w:rFonts w:ascii="Arial" w:hAnsi="Arial" w:eastAsia="Arial" w:cs="Arial"/>
      <w:b/>
      <w:bCs/>
      <w:sz w:val="24"/>
      <w:szCs w:val="24"/>
    </w:rPr>
  </w:style>
  <w:style w:type="character" w:styleId="691">
    <w:name w:val="Заголовок 6 Знак"/>
    <w:next w:val="691"/>
    <w:link w:val="679"/>
    <w:uiPriority w:val="9"/>
    <w:rPr>
      <w:rFonts w:ascii="Arial" w:hAnsi="Arial" w:eastAsia="Arial" w:cs="Arial"/>
      <w:b/>
      <w:bCs/>
      <w:sz w:val="22"/>
      <w:szCs w:val="22"/>
    </w:rPr>
  </w:style>
  <w:style w:type="character" w:styleId="692">
    <w:name w:val="Заголовок 7 Знак"/>
    <w:next w:val="692"/>
    <w:link w:val="680"/>
    <w:uiPriority w:val="9"/>
    <w:rPr>
      <w:rFonts w:ascii="Arial" w:hAnsi="Arial" w:eastAsia="Arial" w:cs="Arial"/>
      <w:b/>
      <w:bCs/>
      <w:i/>
      <w:iCs/>
      <w:sz w:val="22"/>
      <w:szCs w:val="22"/>
    </w:rPr>
  </w:style>
  <w:style w:type="character" w:styleId="693">
    <w:name w:val="Заголовок 8 Знак"/>
    <w:next w:val="693"/>
    <w:link w:val="681"/>
    <w:uiPriority w:val="9"/>
    <w:rPr>
      <w:rFonts w:ascii="Arial" w:hAnsi="Arial" w:eastAsia="Arial" w:cs="Arial"/>
      <w:i/>
      <w:iCs/>
      <w:sz w:val="22"/>
      <w:szCs w:val="22"/>
    </w:rPr>
  </w:style>
  <w:style w:type="character" w:styleId="694">
    <w:name w:val="Заголовок 9 Знак"/>
    <w:next w:val="694"/>
    <w:link w:val="682"/>
    <w:uiPriority w:val="9"/>
    <w:rPr>
      <w:rFonts w:ascii="Arial" w:hAnsi="Arial" w:eastAsia="Arial" w:cs="Arial"/>
      <w:i/>
      <w:iCs/>
      <w:sz w:val="21"/>
      <w:szCs w:val="21"/>
    </w:rPr>
  </w:style>
  <w:style w:type="paragraph" w:styleId="695">
    <w:name w:val="Заголовок"/>
    <w:basedOn w:val="673"/>
    <w:next w:val="673"/>
    <w:link w:val="696"/>
    <w:qFormat/>
    <w:pPr>
      <w:spacing w:before="300" w:after="200"/>
      <w:contextualSpacing/>
    </w:pPr>
    <w:rPr>
      <w:sz w:val="48"/>
      <w:szCs w:val="48"/>
    </w:rPr>
  </w:style>
  <w:style w:type="character" w:styleId="696">
    <w:name w:val="Заголовок Знак"/>
    <w:next w:val="696"/>
    <w:link w:val="695"/>
    <w:rPr>
      <w:sz w:val="48"/>
      <w:szCs w:val="48"/>
    </w:rPr>
  </w:style>
  <w:style w:type="paragraph" w:styleId="697">
    <w:name w:val="Подзаголовок"/>
    <w:basedOn w:val="673"/>
    <w:next w:val="673"/>
    <w:link w:val="698"/>
    <w:uiPriority w:val="11"/>
    <w:qFormat/>
    <w:pPr>
      <w:spacing w:before="200" w:after="200"/>
    </w:pPr>
    <w:rPr>
      <w:sz w:val="24"/>
      <w:szCs w:val="24"/>
    </w:rPr>
  </w:style>
  <w:style w:type="character" w:styleId="698">
    <w:name w:val="Подзаголовок Знак"/>
    <w:next w:val="698"/>
    <w:link w:val="697"/>
    <w:uiPriority w:val="11"/>
    <w:rPr>
      <w:sz w:val="24"/>
      <w:szCs w:val="24"/>
    </w:rPr>
  </w:style>
  <w:style w:type="paragraph" w:styleId="699">
    <w:name w:val="Цитата 2"/>
    <w:basedOn w:val="673"/>
    <w:next w:val="673"/>
    <w:link w:val="700"/>
    <w:uiPriority w:val="29"/>
    <w:qFormat/>
    <w:pPr>
      <w:ind w:left="720" w:right="720"/>
    </w:pPr>
    <w:rPr>
      <w:i/>
    </w:rPr>
  </w:style>
  <w:style w:type="character" w:styleId="700">
    <w:name w:val="Цитата 2 Знак"/>
    <w:next w:val="700"/>
    <w:link w:val="699"/>
    <w:uiPriority w:val="29"/>
    <w:rPr>
      <w:i/>
    </w:rPr>
  </w:style>
  <w:style w:type="paragraph" w:styleId="701">
    <w:name w:val="Выделенная цитата"/>
    <w:basedOn w:val="673"/>
    <w:next w:val="673"/>
    <w:link w:val="702"/>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702">
    <w:name w:val="Выделенная цитата Знак"/>
    <w:next w:val="702"/>
    <w:link w:val="701"/>
    <w:uiPriority w:val="30"/>
    <w:rPr>
      <w:i/>
    </w:rPr>
  </w:style>
  <w:style w:type="paragraph" w:styleId="703">
    <w:name w:val="Верхний колонтитул"/>
    <w:basedOn w:val="673"/>
    <w:next w:val="703"/>
    <w:link w:val="704"/>
    <w:uiPriority w:val="99"/>
    <w:unhideWhenUsed/>
    <w:pPr>
      <w:tabs>
        <w:tab w:val="center" w:pos="7143" w:leader="none"/>
        <w:tab w:val="right" w:pos="14287" w:leader="none"/>
      </w:tabs>
      <w:spacing w:after="0" w:line="240" w:lineRule="auto"/>
    </w:pPr>
  </w:style>
  <w:style w:type="character" w:styleId="704">
    <w:name w:val="Верхний колонтитул Знак"/>
    <w:basedOn w:val="683"/>
    <w:next w:val="704"/>
    <w:link w:val="703"/>
    <w:uiPriority w:val="99"/>
  </w:style>
  <w:style w:type="paragraph" w:styleId="705">
    <w:name w:val="Нижний колонтитул"/>
    <w:basedOn w:val="673"/>
    <w:next w:val="705"/>
    <w:link w:val="708"/>
    <w:uiPriority w:val="99"/>
    <w:unhideWhenUsed/>
    <w:pPr>
      <w:tabs>
        <w:tab w:val="center" w:pos="7143" w:leader="none"/>
        <w:tab w:val="right" w:pos="14287" w:leader="none"/>
      </w:tabs>
      <w:spacing w:after="0" w:line="240" w:lineRule="auto"/>
    </w:pPr>
  </w:style>
  <w:style w:type="character" w:styleId="706">
    <w:name w:val="Footer Char"/>
    <w:basedOn w:val="683"/>
    <w:next w:val="706"/>
    <w:link w:val="673"/>
    <w:uiPriority w:val="99"/>
  </w:style>
  <w:style w:type="paragraph" w:styleId="707">
    <w:name w:val="Название объекта"/>
    <w:basedOn w:val="673"/>
    <w:next w:val="673"/>
    <w:link w:val="673"/>
    <w:uiPriority w:val="35"/>
    <w:semiHidden/>
    <w:unhideWhenUsed/>
    <w:qFormat/>
    <w:pPr>
      <w:spacing w:line="276" w:lineRule="auto"/>
    </w:pPr>
    <w:rPr>
      <w:b/>
      <w:bCs/>
      <w:color w:val="5b9bd5"/>
      <w:sz w:val="18"/>
      <w:szCs w:val="18"/>
    </w:rPr>
  </w:style>
  <w:style w:type="character" w:styleId="708">
    <w:name w:val="Нижний колонтитул Знак"/>
    <w:next w:val="708"/>
    <w:link w:val="705"/>
    <w:uiPriority w:val="99"/>
  </w:style>
  <w:style w:type="table" w:styleId="709">
    <w:name w:val="Сетка таблицы"/>
    <w:basedOn w:val="684"/>
    <w:next w:val="709"/>
    <w:link w:val="673"/>
    <w:uiPriority w:val="59"/>
    <w:pPr>
      <w:spacing w:after="0" w:line="240" w:lineRule="auto"/>
    </w:pPr>
    <w:tblPr/>
  </w:style>
  <w:style w:type="table" w:styleId="710">
    <w:name w:val="Table Grid Light"/>
    <w:basedOn w:val="684"/>
    <w:next w:val="710"/>
    <w:link w:val="673"/>
    <w:uiPriority w:val="59"/>
    <w:pPr>
      <w:spacing w:after="0" w:line="240" w:lineRule="auto"/>
    </w:pPr>
    <w:tblPr/>
  </w:style>
  <w:style w:type="table" w:styleId="711">
    <w:name w:val="Таблица простая 11"/>
    <w:basedOn w:val="684"/>
    <w:next w:val="711"/>
    <w:link w:val="673"/>
    <w:uiPriority w:val="59"/>
    <w:pPr>
      <w:spacing w:after="0" w:line="240" w:lineRule="auto"/>
    </w:pPr>
    <w:tblPr/>
  </w:style>
  <w:style w:type="table" w:styleId="712">
    <w:name w:val="Таблица простая 21"/>
    <w:basedOn w:val="684"/>
    <w:next w:val="712"/>
    <w:link w:val="673"/>
    <w:uiPriority w:val="59"/>
    <w:pPr>
      <w:spacing w:after="0" w:line="240" w:lineRule="auto"/>
    </w:pPr>
    <w:tblPr/>
  </w:style>
  <w:style w:type="table" w:styleId="713">
    <w:name w:val="Таблица простая 31"/>
    <w:basedOn w:val="684"/>
    <w:next w:val="713"/>
    <w:link w:val="673"/>
    <w:uiPriority w:val="99"/>
    <w:pPr>
      <w:spacing w:after="0" w:line="240" w:lineRule="auto"/>
    </w:pPr>
    <w:tblPr/>
  </w:style>
  <w:style w:type="table" w:styleId="714">
    <w:name w:val="Таблица простая 41"/>
    <w:basedOn w:val="684"/>
    <w:next w:val="714"/>
    <w:link w:val="673"/>
    <w:uiPriority w:val="99"/>
    <w:pPr>
      <w:spacing w:after="0" w:line="240" w:lineRule="auto"/>
    </w:pPr>
    <w:tblPr/>
  </w:style>
  <w:style w:type="table" w:styleId="715">
    <w:name w:val="Таблица простая 51"/>
    <w:basedOn w:val="684"/>
    <w:next w:val="715"/>
    <w:link w:val="673"/>
    <w:uiPriority w:val="99"/>
    <w:pPr>
      <w:spacing w:after="0" w:line="240" w:lineRule="auto"/>
    </w:pPr>
    <w:tblPr/>
  </w:style>
  <w:style w:type="table" w:styleId="716">
    <w:name w:val="Таблица-сетка 1 светлая1"/>
    <w:basedOn w:val="684"/>
    <w:next w:val="716"/>
    <w:link w:val="673"/>
    <w:uiPriority w:val="99"/>
    <w:pPr>
      <w:spacing w:after="0" w:line="240" w:lineRule="auto"/>
    </w:pPr>
    <w:tblPr/>
  </w:style>
  <w:style w:type="table" w:styleId="717">
    <w:name w:val="Grid Table 1 Light - Accent 1"/>
    <w:basedOn w:val="684"/>
    <w:next w:val="717"/>
    <w:link w:val="673"/>
    <w:uiPriority w:val="99"/>
    <w:pPr>
      <w:spacing w:after="0" w:line="240" w:lineRule="auto"/>
    </w:pPr>
    <w:tblPr/>
  </w:style>
  <w:style w:type="table" w:styleId="718">
    <w:name w:val="Grid Table 1 Light - Accent 2"/>
    <w:basedOn w:val="684"/>
    <w:next w:val="718"/>
    <w:link w:val="673"/>
    <w:uiPriority w:val="99"/>
    <w:pPr>
      <w:spacing w:after="0" w:line="240" w:lineRule="auto"/>
    </w:pPr>
    <w:tblPr/>
  </w:style>
  <w:style w:type="table" w:styleId="719">
    <w:name w:val="Grid Table 1 Light - Accent 3"/>
    <w:basedOn w:val="684"/>
    <w:next w:val="719"/>
    <w:link w:val="673"/>
    <w:uiPriority w:val="99"/>
    <w:pPr>
      <w:spacing w:after="0" w:line="240" w:lineRule="auto"/>
    </w:pPr>
    <w:tblPr/>
  </w:style>
  <w:style w:type="table" w:styleId="720">
    <w:name w:val="Grid Table 1 Light - Accent 4"/>
    <w:basedOn w:val="684"/>
    <w:next w:val="720"/>
    <w:link w:val="673"/>
    <w:uiPriority w:val="99"/>
    <w:pPr>
      <w:spacing w:after="0" w:line="240" w:lineRule="auto"/>
    </w:pPr>
    <w:tblPr/>
  </w:style>
  <w:style w:type="table" w:styleId="721">
    <w:name w:val="Grid Table 1 Light - Accent 5"/>
    <w:basedOn w:val="684"/>
    <w:next w:val="721"/>
    <w:link w:val="673"/>
    <w:uiPriority w:val="99"/>
    <w:pPr>
      <w:spacing w:after="0" w:line="240" w:lineRule="auto"/>
    </w:pPr>
    <w:tblPr/>
  </w:style>
  <w:style w:type="table" w:styleId="722">
    <w:name w:val="Grid Table 1 Light - Accent 6"/>
    <w:basedOn w:val="684"/>
    <w:next w:val="722"/>
    <w:link w:val="673"/>
    <w:uiPriority w:val="99"/>
    <w:pPr>
      <w:spacing w:after="0" w:line="240" w:lineRule="auto"/>
    </w:pPr>
    <w:tblPr/>
  </w:style>
  <w:style w:type="table" w:styleId="723">
    <w:name w:val="Таблица-сетка 21"/>
    <w:basedOn w:val="684"/>
    <w:next w:val="723"/>
    <w:link w:val="673"/>
    <w:uiPriority w:val="99"/>
    <w:pPr>
      <w:spacing w:after="0" w:line="240" w:lineRule="auto"/>
    </w:pPr>
    <w:tblPr/>
  </w:style>
  <w:style w:type="table" w:styleId="724">
    <w:name w:val="Grid Table 2 - Accent 1"/>
    <w:basedOn w:val="684"/>
    <w:next w:val="724"/>
    <w:link w:val="673"/>
    <w:uiPriority w:val="99"/>
    <w:pPr>
      <w:spacing w:after="0" w:line="240" w:lineRule="auto"/>
    </w:pPr>
    <w:tblPr/>
  </w:style>
  <w:style w:type="table" w:styleId="725">
    <w:name w:val="Grid Table 2 - Accent 2"/>
    <w:basedOn w:val="684"/>
    <w:next w:val="725"/>
    <w:link w:val="673"/>
    <w:uiPriority w:val="99"/>
    <w:pPr>
      <w:spacing w:after="0" w:line="240" w:lineRule="auto"/>
    </w:pPr>
    <w:tblPr/>
  </w:style>
  <w:style w:type="table" w:styleId="726">
    <w:name w:val="Grid Table 2 - Accent 3"/>
    <w:basedOn w:val="684"/>
    <w:next w:val="726"/>
    <w:link w:val="673"/>
    <w:uiPriority w:val="99"/>
    <w:pPr>
      <w:spacing w:after="0" w:line="240" w:lineRule="auto"/>
    </w:pPr>
    <w:tblPr/>
  </w:style>
  <w:style w:type="table" w:styleId="727">
    <w:name w:val="Grid Table 2 - Accent 4"/>
    <w:basedOn w:val="684"/>
    <w:next w:val="727"/>
    <w:link w:val="673"/>
    <w:uiPriority w:val="99"/>
    <w:pPr>
      <w:spacing w:after="0" w:line="240" w:lineRule="auto"/>
    </w:pPr>
    <w:tblPr/>
  </w:style>
  <w:style w:type="table" w:styleId="728">
    <w:name w:val="Grid Table 2 - Accent 5"/>
    <w:basedOn w:val="684"/>
    <w:next w:val="728"/>
    <w:link w:val="673"/>
    <w:uiPriority w:val="99"/>
    <w:pPr>
      <w:spacing w:after="0" w:line="240" w:lineRule="auto"/>
    </w:pPr>
    <w:tblPr/>
  </w:style>
  <w:style w:type="table" w:styleId="729">
    <w:name w:val="Grid Table 2 - Accent 6"/>
    <w:basedOn w:val="684"/>
    <w:next w:val="729"/>
    <w:link w:val="673"/>
    <w:uiPriority w:val="99"/>
    <w:pPr>
      <w:spacing w:after="0" w:line="240" w:lineRule="auto"/>
    </w:pPr>
    <w:tblPr/>
  </w:style>
  <w:style w:type="table" w:styleId="730">
    <w:name w:val="Таблица-сетка 31"/>
    <w:basedOn w:val="684"/>
    <w:next w:val="730"/>
    <w:link w:val="673"/>
    <w:uiPriority w:val="99"/>
    <w:pPr>
      <w:spacing w:after="0" w:line="240" w:lineRule="auto"/>
    </w:pPr>
    <w:tblPr/>
  </w:style>
  <w:style w:type="table" w:styleId="731">
    <w:name w:val="Grid Table 3 - Accent 1"/>
    <w:basedOn w:val="684"/>
    <w:next w:val="731"/>
    <w:link w:val="673"/>
    <w:uiPriority w:val="99"/>
    <w:pPr>
      <w:spacing w:after="0" w:line="240" w:lineRule="auto"/>
    </w:pPr>
    <w:tblPr/>
  </w:style>
  <w:style w:type="table" w:styleId="732">
    <w:name w:val="Grid Table 3 - Accent 2"/>
    <w:basedOn w:val="684"/>
    <w:next w:val="732"/>
    <w:link w:val="673"/>
    <w:uiPriority w:val="99"/>
    <w:pPr>
      <w:spacing w:after="0" w:line="240" w:lineRule="auto"/>
    </w:pPr>
    <w:tblPr/>
  </w:style>
  <w:style w:type="table" w:styleId="733">
    <w:name w:val="Grid Table 3 - Accent 3"/>
    <w:basedOn w:val="684"/>
    <w:next w:val="733"/>
    <w:link w:val="673"/>
    <w:uiPriority w:val="99"/>
    <w:pPr>
      <w:spacing w:after="0" w:line="240" w:lineRule="auto"/>
    </w:pPr>
    <w:tblPr/>
  </w:style>
  <w:style w:type="table" w:styleId="734">
    <w:name w:val="Grid Table 3 - Accent 4"/>
    <w:basedOn w:val="684"/>
    <w:next w:val="734"/>
    <w:link w:val="673"/>
    <w:uiPriority w:val="99"/>
    <w:pPr>
      <w:spacing w:after="0" w:line="240" w:lineRule="auto"/>
    </w:pPr>
    <w:tblPr/>
  </w:style>
  <w:style w:type="table" w:styleId="735">
    <w:name w:val="Grid Table 3 - Accent 5"/>
    <w:basedOn w:val="684"/>
    <w:next w:val="735"/>
    <w:link w:val="673"/>
    <w:uiPriority w:val="99"/>
    <w:pPr>
      <w:spacing w:after="0" w:line="240" w:lineRule="auto"/>
    </w:pPr>
    <w:tblPr/>
  </w:style>
  <w:style w:type="table" w:styleId="736">
    <w:name w:val="Grid Table 3 - Accent 6"/>
    <w:basedOn w:val="684"/>
    <w:next w:val="736"/>
    <w:link w:val="673"/>
    <w:uiPriority w:val="99"/>
    <w:pPr>
      <w:spacing w:after="0" w:line="240" w:lineRule="auto"/>
    </w:pPr>
    <w:tblPr/>
  </w:style>
  <w:style w:type="table" w:styleId="737">
    <w:name w:val="Таблица-сетка 41"/>
    <w:basedOn w:val="684"/>
    <w:next w:val="737"/>
    <w:link w:val="673"/>
    <w:uiPriority w:val="59"/>
    <w:pPr>
      <w:spacing w:after="0" w:line="240" w:lineRule="auto"/>
    </w:pPr>
    <w:tblPr/>
  </w:style>
  <w:style w:type="table" w:styleId="738">
    <w:name w:val="Grid Table 4 - Accent 1"/>
    <w:basedOn w:val="684"/>
    <w:next w:val="738"/>
    <w:link w:val="673"/>
    <w:uiPriority w:val="59"/>
    <w:pPr>
      <w:spacing w:after="0" w:line="240" w:lineRule="auto"/>
    </w:pPr>
    <w:tblPr/>
  </w:style>
  <w:style w:type="table" w:styleId="739">
    <w:name w:val="Grid Table 4 - Accent 2"/>
    <w:basedOn w:val="684"/>
    <w:next w:val="739"/>
    <w:link w:val="673"/>
    <w:uiPriority w:val="59"/>
    <w:pPr>
      <w:spacing w:after="0" w:line="240" w:lineRule="auto"/>
    </w:pPr>
    <w:tblPr/>
  </w:style>
  <w:style w:type="table" w:styleId="740">
    <w:name w:val="Grid Table 4 - Accent 3"/>
    <w:basedOn w:val="684"/>
    <w:next w:val="740"/>
    <w:link w:val="673"/>
    <w:uiPriority w:val="59"/>
    <w:pPr>
      <w:spacing w:after="0" w:line="240" w:lineRule="auto"/>
    </w:pPr>
    <w:tblPr/>
  </w:style>
  <w:style w:type="table" w:styleId="741">
    <w:name w:val="Grid Table 4 - Accent 4"/>
    <w:basedOn w:val="684"/>
    <w:next w:val="741"/>
    <w:link w:val="673"/>
    <w:uiPriority w:val="59"/>
    <w:pPr>
      <w:spacing w:after="0" w:line="240" w:lineRule="auto"/>
    </w:pPr>
    <w:tblPr/>
  </w:style>
  <w:style w:type="table" w:styleId="742">
    <w:name w:val="Grid Table 4 - Accent 5"/>
    <w:basedOn w:val="684"/>
    <w:next w:val="742"/>
    <w:link w:val="673"/>
    <w:uiPriority w:val="59"/>
    <w:pPr>
      <w:spacing w:after="0" w:line="240" w:lineRule="auto"/>
    </w:pPr>
    <w:tblPr/>
  </w:style>
  <w:style w:type="table" w:styleId="743">
    <w:name w:val="Grid Table 4 - Accent 6"/>
    <w:basedOn w:val="684"/>
    <w:next w:val="743"/>
    <w:link w:val="673"/>
    <w:uiPriority w:val="59"/>
    <w:pPr>
      <w:spacing w:after="0" w:line="240" w:lineRule="auto"/>
    </w:pPr>
    <w:tblPr/>
  </w:style>
  <w:style w:type="table" w:styleId="744">
    <w:name w:val="Таблица-сетка 5 темная1"/>
    <w:basedOn w:val="684"/>
    <w:next w:val="744"/>
    <w:link w:val="673"/>
    <w:uiPriority w:val="99"/>
    <w:pPr>
      <w:spacing w:after="0" w:line="240" w:lineRule="auto"/>
    </w:pPr>
    <w:tblPr/>
  </w:style>
  <w:style w:type="table" w:styleId="745">
    <w:name w:val="Grid Table 5 Dark- Accent 1"/>
    <w:basedOn w:val="684"/>
    <w:next w:val="745"/>
    <w:link w:val="673"/>
    <w:uiPriority w:val="99"/>
    <w:pPr>
      <w:spacing w:after="0" w:line="240" w:lineRule="auto"/>
    </w:pPr>
    <w:tblPr/>
  </w:style>
  <w:style w:type="table" w:styleId="746">
    <w:name w:val="Grid Table 5 Dark - Accent 2"/>
    <w:basedOn w:val="684"/>
    <w:next w:val="746"/>
    <w:link w:val="673"/>
    <w:uiPriority w:val="99"/>
    <w:pPr>
      <w:spacing w:after="0" w:line="240" w:lineRule="auto"/>
    </w:pPr>
    <w:tblPr/>
  </w:style>
  <w:style w:type="table" w:styleId="747">
    <w:name w:val="Grid Table 5 Dark - Accent 3"/>
    <w:basedOn w:val="684"/>
    <w:next w:val="747"/>
    <w:link w:val="673"/>
    <w:uiPriority w:val="99"/>
    <w:pPr>
      <w:spacing w:after="0" w:line="240" w:lineRule="auto"/>
    </w:pPr>
    <w:tblPr/>
  </w:style>
  <w:style w:type="table" w:styleId="748">
    <w:name w:val="Grid Table 5 Dark- Accent 4"/>
    <w:basedOn w:val="684"/>
    <w:next w:val="748"/>
    <w:link w:val="673"/>
    <w:uiPriority w:val="99"/>
    <w:pPr>
      <w:spacing w:after="0" w:line="240" w:lineRule="auto"/>
    </w:pPr>
    <w:tblPr/>
  </w:style>
  <w:style w:type="table" w:styleId="749">
    <w:name w:val="Grid Table 5 Dark - Accent 5"/>
    <w:basedOn w:val="684"/>
    <w:next w:val="749"/>
    <w:link w:val="673"/>
    <w:uiPriority w:val="99"/>
    <w:pPr>
      <w:spacing w:after="0" w:line="240" w:lineRule="auto"/>
    </w:pPr>
    <w:tblPr/>
  </w:style>
  <w:style w:type="table" w:styleId="750">
    <w:name w:val="Grid Table 5 Dark - Accent 6"/>
    <w:basedOn w:val="684"/>
    <w:next w:val="750"/>
    <w:link w:val="673"/>
    <w:uiPriority w:val="99"/>
    <w:pPr>
      <w:spacing w:after="0" w:line="240" w:lineRule="auto"/>
    </w:pPr>
    <w:tblPr/>
  </w:style>
  <w:style w:type="table" w:styleId="751">
    <w:name w:val="Таблица-сетка 6 цветная1"/>
    <w:basedOn w:val="684"/>
    <w:next w:val="751"/>
    <w:link w:val="673"/>
    <w:uiPriority w:val="99"/>
    <w:pPr>
      <w:spacing w:after="0" w:line="240" w:lineRule="auto"/>
    </w:pPr>
    <w:tblPr/>
  </w:style>
  <w:style w:type="table" w:styleId="752">
    <w:name w:val="Grid Table 6 Colorful - Accent 1"/>
    <w:basedOn w:val="684"/>
    <w:next w:val="752"/>
    <w:link w:val="673"/>
    <w:uiPriority w:val="99"/>
    <w:pPr>
      <w:spacing w:after="0" w:line="240" w:lineRule="auto"/>
    </w:pPr>
    <w:tblPr/>
  </w:style>
  <w:style w:type="table" w:styleId="753">
    <w:name w:val="Grid Table 6 Colorful - Accent 2"/>
    <w:basedOn w:val="684"/>
    <w:next w:val="753"/>
    <w:link w:val="673"/>
    <w:uiPriority w:val="99"/>
    <w:pPr>
      <w:spacing w:after="0" w:line="240" w:lineRule="auto"/>
    </w:pPr>
    <w:tblPr/>
  </w:style>
  <w:style w:type="table" w:styleId="754">
    <w:name w:val="Grid Table 6 Colorful - Accent 3"/>
    <w:basedOn w:val="684"/>
    <w:next w:val="754"/>
    <w:link w:val="673"/>
    <w:uiPriority w:val="99"/>
    <w:pPr>
      <w:spacing w:after="0" w:line="240" w:lineRule="auto"/>
    </w:pPr>
    <w:tblPr/>
  </w:style>
  <w:style w:type="table" w:styleId="755">
    <w:name w:val="Grid Table 6 Colorful - Accent 4"/>
    <w:basedOn w:val="684"/>
    <w:next w:val="755"/>
    <w:link w:val="673"/>
    <w:uiPriority w:val="99"/>
    <w:pPr>
      <w:spacing w:after="0" w:line="240" w:lineRule="auto"/>
    </w:pPr>
    <w:tblPr/>
  </w:style>
  <w:style w:type="table" w:styleId="756">
    <w:name w:val="Grid Table 6 Colorful - Accent 5"/>
    <w:basedOn w:val="684"/>
    <w:next w:val="756"/>
    <w:link w:val="673"/>
    <w:uiPriority w:val="99"/>
    <w:pPr>
      <w:spacing w:after="0" w:line="240" w:lineRule="auto"/>
    </w:pPr>
    <w:tblPr/>
  </w:style>
  <w:style w:type="table" w:styleId="757">
    <w:name w:val="Grid Table 6 Colorful - Accent 6"/>
    <w:basedOn w:val="684"/>
    <w:next w:val="757"/>
    <w:link w:val="673"/>
    <w:uiPriority w:val="99"/>
    <w:pPr>
      <w:spacing w:after="0" w:line="240" w:lineRule="auto"/>
    </w:pPr>
    <w:tblPr/>
  </w:style>
  <w:style w:type="table" w:styleId="758">
    <w:name w:val="Таблица-сетка 7 цветная1"/>
    <w:basedOn w:val="684"/>
    <w:next w:val="758"/>
    <w:link w:val="673"/>
    <w:uiPriority w:val="99"/>
    <w:pPr>
      <w:spacing w:after="0" w:line="240" w:lineRule="auto"/>
    </w:pPr>
    <w:tblPr/>
  </w:style>
  <w:style w:type="table" w:styleId="759">
    <w:name w:val="Grid Table 7 Colorful - Accent 1"/>
    <w:basedOn w:val="684"/>
    <w:next w:val="759"/>
    <w:link w:val="673"/>
    <w:uiPriority w:val="99"/>
    <w:pPr>
      <w:spacing w:after="0" w:line="240" w:lineRule="auto"/>
    </w:pPr>
    <w:tblPr/>
  </w:style>
  <w:style w:type="table" w:styleId="760">
    <w:name w:val="Grid Table 7 Colorful - Accent 2"/>
    <w:basedOn w:val="684"/>
    <w:next w:val="760"/>
    <w:link w:val="673"/>
    <w:uiPriority w:val="99"/>
    <w:pPr>
      <w:spacing w:after="0" w:line="240" w:lineRule="auto"/>
    </w:pPr>
    <w:tblPr/>
  </w:style>
  <w:style w:type="table" w:styleId="761">
    <w:name w:val="Grid Table 7 Colorful - Accent 3"/>
    <w:basedOn w:val="684"/>
    <w:next w:val="761"/>
    <w:link w:val="673"/>
    <w:uiPriority w:val="99"/>
    <w:pPr>
      <w:spacing w:after="0" w:line="240" w:lineRule="auto"/>
    </w:pPr>
    <w:tblPr/>
  </w:style>
  <w:style w:type="table" w:styleId="762">
    <w:name w:val="Grid Table 7 Colorful - Accent 4"/>
    <w:basedOn w:val="684"/>
    <w:next w:val="762"/>
    <w:link w:val="673"/>
    <w:uiPriority w:val="99"/>
    <w:pPr>
      <w:spacing w:after="0" w:line="240" w:lineRule="auto"/>
    </w:pPr>
    <w:tblPr/>
  </w:style>
  <w:style w:type="table" w:styleId="763">
    <w:name w:val="Grid Table 7 Colorful - Accent 5"/>
    <w:basedOn w:val="684"/>
    <w:next w:val="763"/>
    <w:link w:val="673"/>
    <w:uiPriority w:val="99"/>
    <w:pPr>
      <w:spacing w:after="0" w:line="240" w:lineRule="auto"/>
    </w:pPr>
    <w:tblPr/>
  </w:style>
  <w:style w:type="table" w:styleId="764">
    <w:name w:val="Grid Table 7 Colorful - Accent 6"/>
    <w:basedOn w:val="684"/>
    <w:next w:val="764"/>
    <w:link w:val="673"/>
    <w:uiPriority w:val="99"/>
    <w:pPr>
      <w:spacing w:after="0" w:line="240" w:lineRule="auto"/>
    </w:pPr>
    <w:tblPr/>
  </w:style>
  <w:style w:type="table" w:styleId="765">
    <w:name w:val="Список-таблица 1 светлая1"/>
    <w:basedOn w:val="684"/>
    <w:next w:val="765"/>
    <w:link w:val="673"/>
    <w:uiPriority w:val="99"/>
    <w:pPr>
      <w:spacing w:after="0" w:line="240" w:lineRule="auto"/>
    </w:pPr>
    <w:tblPr/>
  </w:style>
  <w:style w:type="table" w:styleId="766">
    <w:name w:val="List Table 1 Light - Accent 1"/>
    <w:basedOn w:val="684"/>
    <w:next w:val="766"/>
    <w:link w:val="673"/>
    <w:uiPriority w:val="99"/>
    <w:pPr>
      <w:spacing w:after="0" w:line="240" w:lineRule="auto"/>
    </w:pPr>
    <w:tblPr/>
  </w:style>
  <w:style w:type="table" w:styleId="767">
    <w:name w:val="List Table 1 Light - Accent 2"/>
    <w:basedOn w:val="684"/>
    <w:next w:val="767"/>
    <w:link w:val="673"/>
    <w:uiPriority w:val="99"/>
    <w:pPr>
      <w:spacing w:after="0" w:line="240" w:lineRule="auto"/>
    </w:pPr>
    <w:tblPr/>
  </w:style>
  <w:style w:type="table" w:styleId="768">
    <w:name w:val="List Table 1 Light - Accent 3"/>
    <w:basedOn w:val="684"/>
    <w:next w:val="768"/>
    <w:link w:val="673"/>
    <w:uiPriority w:val="99"/>
    <w:pPr>
      <w:spacing w:after="0" w:line="240" w:lineRule="auto"/>
    </w:pPr>
    <w:tblPr/>
  </w:style>
  <w:style w:type="table" w:styleId="769">
    <w:name w:val="List Table 1 Light - Accent 4"/>
    <w:basedOn w:val="684"/>
    <w:next w:val="769"/>
    <w:link w:val="673"/>
    <w:uiPriority w:val="99"/>
    <w:pPr>
      <w:spacing w:after="0" w:line="240" w:lineRule="auto"/>
    </w:pPr>
    <w:tblPr/>
  </w:style>
  <w:style w:type="table" w:styleId="770">
    <w:name w:val="List Table 1 Light - Accent 5"/>
    <w:basedOn w:val="684"/>
    <w:next w:val="770"/>
    <w:link w:val="673"/>
    <w:uiPriority w:val="99"/>
    <w:pPr>
      <w:spacing w:after="0" w:line="240" w:lineRule="auto"/>
    </w:pPr>
    <w:tblPr/>
  </w:style>
  <w:style w:type="table" w:styleId="771">
    <w:name w:val="List Table 1 Light - Accent 6"/>
    <w:basedOn w:val="684"/>
    <w:next w:val="771"/>
    <w:link w:val="673"/>
    <w:uiPriority w:val="99"/>
    <w:pPr>
      <w:spacing w:after="0" w:line="240" w:lineRule="auto"/>
    </w:pPr>
    <w:tblPr/>
  </w:style>
  <w:style w:type="table" w:styleId="772">
    <w:name w:val="Список-таблица 21"/>
    <w:basedOn w:val="684"/>
    <w:next w:val="772"/>
    <w:link w:val="673"/>
    <w:uiPriority w:val="99"/>
    <w:pPr>
      <w:spacing w:after="0" w:line="240" w:lineRule="auto"/>
    </w:pPr>
    <w:tblPr/>
  </w:style>
  <w:style w:type="table" w:styleId="773">
    <w:name w:val="List Table 2 - Accent 1"/>
    <w:basedOn w:val="684"/>
    <w:next w:val="773"/>
    <w:link w:val="673"/>
    <w:uiPriority w:val="99"/>
    <w:pPr>
      <w:spacing w:after="0" w:line="240" w:lineRule="auto"/>
    </w:pPr>
    <w:tblPr/>
  </w:style>
  <w:style w:type="table" w:styleId="774">
    <w:name w:val="List Table 2 - Accent 2"/>
    <w:basedOn w:val="684"/>
    <w:next w:val="774"/>
    <w:link w:val="673"/>
    <w:uiPriority w:val="99"/>
    <w:pPr>
      <w:spacing w:after="0" w:line="240" w:lineRule="auto"/>
    </w:pPr>
    <w:tblPr/>
  </w:style>
  <w:style w:type="table" w:styleId="775">
    <w:name w:val="List Table 2 - Accent 3"/>
    <w:basedOn w:val="684"/>
    <w:next w:val="775"/>
    <w:link w:val="673"/>
    <w:uiPriority w:val="99"/>
    <w:pPr>
      <w:spacing w:after="0" w:line="240" w:lineRule="auto"/>
    </w:pPr>
    <w:tblPr/>
  </w:style>
  <w:style w:type="table" w:styleId="776">
    <w:name w:val="List Table 2 - Accent 4"/>
    <w:basedOn w:val="684"/>
    <w:next w:val="776"/>
    <w:link w:val="673"/>
    <w:uiPriority w:val="99"/>
    <w:pPr>
      <w:spacing w:after="0" w:line="240" w:lineRule="auto"/>
    </w:pPr>
    <w:tblPr/>
  </w:style>
  <w:style w:type="table" w:styleId="777">
    <w:name w:val="List Table 2 - Accent 5"/>
    <w:basedOn w:val="684"/>
    <w:next w:val="777"/>
    <w:link w:val="673"/>
    <w:uiPriority w:val="99"/>
    <w:pPr>
      <w:spacing w:after="0" w:line="240" w:lineRule="auto"/>
    </w:pPr>
    <w:tblPr/>
  </w:style>
  <w:style w:type="table" w:styleId="778">
    <w:name w:val="List Table 2 - Accent 6"/>
    <w:basedOn w:val="684"/>
    <w:next w:val="778"/>
    <w:link w:val="673"/>
    <w:uiPriority w:val="99"/>
    <w:pPr>
      <w:spacing w:after="0" w:line="240" w:lineRule="auto"/>
    </w:pPr>
    <w:tblPr/>
  </w:style>
  <w:style w:type="table" w:styleId="779">
    <w:name w:val="Список-таблица 31"/>
    <w:basedOn w:val="684"/>
    <w:next w:val="779"/>
    <w:link w:val="673"/>
    <w:uiPriority w:val="99"/>
    <w:pPr>
      <w:spacing w:after="0" w:line="240" w:lineRule="auto"/>
    </w:pPr>
    <w:tblPr/>
  </w:style>
  <w:style w:type="table" w:styleId="780">
    <w:name w:val="List Table 3 - Accent 1"/>
    <w:basedOn w:val="684"/>
    <w:next w:val="780"/>
    <w:link w:val="673"/>
    <w:uiPriority w:val="99"/>
    <w:pPr>
      <w:spacing w:after="0" w:line="240" w:lineRule="auto"/>
    </w:pPr>
    <w:tblPr/>
  </w:style>
  <w:style w:type="table" w:styleId="781">
    <w:name w:val="List Table 3 - Accent 2"/>
    <w:basedOn w:val="684"/>
    <w:next w:val="781"/>
    <w:link w:val="673"/>
    <w:uiPriority w:val="99"/>
    <w:pPr>
      <w:spacing w:after="0" w:line="240" w:lineRule="auto"/>
    </w:pPr>
    <w:tblPr/>
  </w:style>
  <w:style w:type="table" w:styleId="782">
    <w:name w:val="List Table 3 - Accent 3"/>
    <w:basedOn w:val="684"/>
    <w:next w:val="782"/>
    <w:link w:val="673"/>
    <w:uiPriority w:val="99"/>
    <w:pPr>
      <w:spacing w:after="0" w:line="240" w:lineRule="auto"/>
    </w:pPr>
    <w:tblPr/>
  </w:style>
  <w:style w:type="table" w:styleId="783">
    <w:name w:val="List Table 3 - Accent 4"/>
    <w:basedOn w:val="684"/>
    <w:next w:val="783"/>
    <w:link w:val="673"/>
    <w:uiPriority w:val="99"/>
    <w:pPr>
      <w:spacing w:after="0" w:line="240" w:lineRule="auto"/>
    </w:pPr>
    <w:tblPr/>
  </w:style>
  <w:style w:type="table" w:styleId="784">
    <w:name w:val="List Table 3 - Accent 5"/>
    <w:basedOn w:val="684"/>
    <w:next w:val="784"/>
    <w:link w:val="673"/>
    <w:uiPriority w:val="99"/>
    <w:pPr>
      <w:spacing w:after="0" w:line="240" w:lineRule="auto"/>
    </w:pPr>
    <w:tblPr/>
  </w:style>
  <w:style w:type="table" w:styleId="785">
    <w:name w:val="List Table 3 - Accent 6"/>
    <w:basedOn w:val="684"/>
    <w:next w:val="785"/>
    <w:link w:val="673"/>
    <w:uiPriority w:val="99"/>
    <w:pPr>
      <w:spacing w:after="0" w:line="240" w:lineRule="auto"/>
    </w:pPr>
    <w:tblPr/>
  </w:style>
  <w:style w:type="table" w:styleId="786">
    <w:name w:val="Список-таблица 41"/>
    <w:basedOn w:val="684"/>
    <w:next w:val="786"/>
    <w:link w:val="673"/>
    <w:uiPriority w:val="99"/>
    <w:pPr>
      <w:spacing w:after="0" w:line="240" w:lineRule="auto"/>
    </w:pPr>
    <w:tblPr/>
  </w:style>
  <w:style w:type="table" w:styleId="787">
    <w:name w:val="List Table 4 - Accent 1"/>
    <w:basedOn w:val="684"/>
    <w:next w:val="787"/>
    <w:link w:val="673"/>
    <w:uiPriority w:val="99"/>
    <w:pPr>
      <w:spacing w:after="0" w:line="240" w:lineRule="auto"/>
    </w:pPr>
    <w:tblPr/>
  </w:style>
  <w:style w:type="table" w:styleId="788">
    <w:name w:val="List Table 4 - Accent 2"/>
    <w:basedOn w:val="684"/>
    <w:next w:val="788"/>
    <w:link w:val="673"/>
    <w:uiPriority w:val="99"/>
    <w:pPr>
      <w:spacing w:after="0" w:line="240" w:lineRule="auto"/>
    </w:pPr>
    <w:tblPr/>
  </w:style>
  <w:style w:type="table" w:styleId="789">
    <w:name w:val="List Table 4 - Accent 3"/>
    <w:basedOn w:val="684"/>
    <w:next w:val="789"/>
    <w:link w:val="673"/>
    <w:uiPriority w:val="99"/>
    <w:pPr>
      <w:spacing w:after="0" w:line="240" w:lineRule="auto"/>
    </w:pPr>
    <w:tblPr/>
  </w:style>
  <w:style w:type="table" w:styleId="790">
    <w:name w:val="List Table 4 - Accent 4"/>
    <w:basedOn w:val="684"/>
    <w:next w:val="790"/>
    <w:link w:val="673"/>
    <w:uiPriority w:val="99"/>
    <w:pPr>
      <w:spacing w:after="0" w:line="240" w:lineRule="auto"/>
    </w:pPr>
    <w:tblPr/>
  </w:style>
  <w:style w:type="table" w:styleId="791">
    <w:name w:val="List Table 4 - Accent 5"/>
    <w:basedOn w:val="684"/>
    <w:next w:val="791"/>
    <w:link w:val="673"/>
    <w:uiPriority w:val="99"/>
    <w:pPr>
      <w:spacing w:after="0" w:line="240" w:lineRule="auto"/>
    </w:pPr>
    <w:tblPr/>
  </w:style>
  <w:style w:type="table" w:styleId="792">
    <w:name w:val="List Table 4 - Accent 6"/>
    <w:basedOn w:val="684"/>
    <w:next w:val="792"/>
    <w:link w:val="673"/>
    <w:uiPriority w:val="99"/>
    <w:pPr>
      <w:spacing w:after="0" w:line="240" w:lineRule="auto"/>
    </w:pPr>
    <w:tblPr/>
  </w:style>
  <w:style w:type="table" w:styleId="793">
    <w:name w:val="Список-таблица 5 темная1"/>
    <w:basedOn w:val="684"/>
    <w:next w:val="793"/>
    <w:link w:val="673"/>
    <w:uiPriority w:val="99"/>
    <w:pPr>
      <w:spacing w:after="0" w:line="240" w:lineRule="auto"/>
    </w:pPr>
    <w:tblPr/>
  </w:style>
  <w:style w:type="table" w:styleId="794">
    <w:name w:val="List Table 5 Dark - Accent 1"/>
    <w:basedOn w:val="684"/>
    <w:next w:val="794"/>
    <w:link w:val="673"/>
    <w:uiPriority w:val="99"/>
    <w:pPr>
      <w:spacing w:after="0" w:line="240" w:lineRule="auto"/>
    </w:pPr>
    <w:tblPr/>
  </w:style>
  <w:style w:type="table" w:styleId="795">
    <w:name w:val="List Table 5 Dark - Accent 2"/>
    <w:basedOn w:val="684"/>
    <w:next w:val="795"/>
    <w:link w:val="673"/>
    <w:uiPriority w:val="99"/>
    <w:pPr>
      <w:spacing w:after="0" w:line="240" w:lineRule="auto"/>
    </w:pPr>
    <w:tblPr/>
  </w:style>
  <w:style w:type="table" w:styleId="796">
    <w:name w:val="List Table 5 Dark - Accent 3"/>
    <w:basedOn w:val="684"/>
    <w:next w:val="796"/>
    <w:link w:val="673"/>
    <w:uiPriority w:val="99"/>
    <w:pPr>
      <w:spacing w:after="0" w:line="240" w:lineRule="auto"/>
    </w:pPr>
    <w:tblPr/>
  </w:style>
  <w:style w:type="table" w:styleId="797">
    <w:name w:val="List Table 5 Dark - Accent 4"/>
    <w:basedOn w:val="684"/>
    <w:next w:val="797"/>
    <w:link w:val="673"/>
    <w:uiPriority w:val="99"/>
    <w:pPr>
      <w:spacing w:after="0" w:line="240" w:lineRule="auto"/>
    </w:pPr>
    <w:tblPr/>
  </w:style>
  <w:style w:type="table" w:styleId="798">
    <w:name w:val="List Table 5 Dark - Accent 5"/>
    <w:basedOn w:val="684"/>
    <w:next w:val="798"/>
    <w:link w:val="673"/>
    <w:uiPriority w:val="99"/>
    <w:pPr>
      <w:spacing w:after="0" w:line="240" w:lineRule="auto"/>
    </w:pPr>
    <w:tblPr/>
  </w:style>
  <w:style w:type="table" w:styleId="799">
    <w:name w:val="List Table 5 Dark - Accent 6"/>
    <w:basedOn w:val="684"/>
    <w:next w:val="799"/>
    <w:link w:val="673"/>
    <w:uiPriority w:val="99"/>
    <w:pPr>
      <w:spacing w:after="0" w:line="240" w:lineRule="auto"/>
    </w:pPr>
    <w:tblPr/>
  </w:style>
  <w:style w:type="table" w:styleId="800">
    <w:name w:val="Список-таблица 6 цветная1"/>
    <w:basedOn w:val="684"/>
    <w:next w:val="800"/>
    <w:link w:val="673"/>
    <w:uiPriority w:val="99"/>
    <w:pPr>
      <w:spacing w:after="0" w:line="240" w:lineRule="auto"/>
    </w:pPr>
    <w:tblPr/>
  </w:style>
  <w:style w:type="table" w:styleId="801">
    <w:name w:val="List Table 6 Colorful - Accent 1"/>
    <w:basedOn w:val="684"/>
    <w:next w:val="801"/>
    <w:link w:val="673"/>
    <w:uiPriority w:val="99"/>
    <w:pPr>
      <w:spacing w:after="0" w:line="240" w:lineRule="auto"/>
    </w:pPr>
    <w:tblPr/>
  </w:style>
  <w:style w:type="table" w:styleId="802">
    <w:name w:val="List Table 6 Colorful - Accent 2"/>
    <w:basedOn w:val="684"/>
    <w:next w:val="802"/>
    <w:link w:val="673"/>
    <w:uiPriority w:val="99"/>
    <w:pPr>
      <w:spacing w:after="0" w:line="240" w:lineRule="auto"/>
    </w:pPr>
    <w:tblPr/>
  </w:style>
  <w:style w:type="table" w:styleId="803">
    <w:name w:val="List Table 6 Colorful - Accent 3"/>
    <w:basedOn w:val="684"/>
    <w:next w:val="803"/>
    <w:link w:val="673"/>
    <w:uiPriority w:val="99"/>
    <w:pPr>
      <w:spacing w:after="0" w:line="240" w:lineRule="auto"/>
    </w:pPr>
    <w:tblPr/>
  </w:style>
  <w:style w:type="table" w:styleId="804">
    <w:name w:val="List Table 6 Colorful - Accent 4"/>
    <w:basedOn w:val="684"/>
    <w:next w:val="804"/>
    <w:link w:val="673"/>
    <w:uiPriority w:val="99"/>
    <w:pPr>
      <w:spacing w:after="0" w:line="240" w:lineRule="auto"/>
    </w:pPr>
    <w:tblPr/>
  </w:style>
  <w:style w:type="table" w:styleId="805">
    <w:name w:val="List Table 6 Colorful - Accent 5"/>
    <w:basedOn w:val="684"/>
    <w:next w:val="805"/>
    <w:link w:val="673"/>
    <w:uiPriority w:val="99"/>
    <w:pPr>
      <w:spacing w:after="0" w:line="240" w:lineRule="auto"/>
    </w:pPr>
    <w:tblPr/>
  </w:style>
  <w:style w:type="table" w:styleId="806">
    <w:name w:val="List Table 6 Colorful - Accent 6"/>
    <w:basedOn w:val="684"/>
    <w:next w:val="806"/>
    <w:link w:val="673"/>
    <w:uiPriority w:val="99"/>
    <w:pPr>
      <w:spacing w:after="0" w:line="240" w:lineRule="auto"/>
    </w:pPr>
    <w:tblPr/>
  </w:style>
  <w:style w:type="table" w:styleId="807">
    <w:name w:val="Список-таблица 7 цветная1"/>
    <w:basedOn w:val="684"/>
    <w:next w:val="807"/>
    <w:link w:val="673"/>
    <w:uiPriority w:val="99"/>
    <w:pPr>
      <w:spacing w:after="0" w:line="240" w:lineRule="auto"/>
    </w:pPr>
    <w:tblPr/>
  </w:style>
  <w:style w:type="table" w:styleId="808">
    <w:name w:val="List Table 7 Colorful - Accent 1"/>
    <w:basedOn w:val="684"/>
    <w:next w:val="808"/>
    <w:link w:val="673"/>
    <w:uiPriority w:val="99"/>
    <w:pPr>
      <w:spacing w:after="0" w:line="240" w:lineRule="auto"/>
    </w:pPr>
    <w:tblPr/>
  </w:style>
  <w:style w:type="table" w:styleId="809">
    <w:name w:val="List Table 7 Colorful - Accent 2"/>
    <w:basedOn w:val="684"/>
    <w:next w:val="809"/>
    <w:link w:val="673"/>
    <w:uiPriority w:val="99"/>
    <w:pPr>
      <w:spacing w:after="0" w:line="240" w:lineRule="auto"/>
    </w:pPr>
    <w:tblPr/>
  </w:style>
  <w:style w:type="table" w:styleId="810">
    <w:name w:val="List Table 7 Colorful - Accent 3"/>
    <w:basedOn w:val="684"/>
    <w:next w:val="810"/>
    <w:link w:val="673"/>
    <w:uiPriority w:val="99"/>
    <w:pPr>
      <w:spacing w:after="0" w:line="240" w:lineRule="auto"/>
    </w:pPr>
    <w:tblPr/>
  </w:style>
  <w:style w:type="table" w:styleId="811">
    <w:name w:val="List Table 7 Colorful - Accent 4"/>
    <w:basedOn w:val="684"/>
    <w:next w:val="811"/>
    <w:link w:val="673"/>
    <w:uiPriority w:val="99"/>
    <w:pPr>
      <w:spacing w:after="0" w:line="240" w:lineRule="auto"/>
    </w:pPr>
    <w:tblPr/>
  </w:style>
  <w:style w:type="table" w:styleId="812">
    <w:name w:val="List Table 7 Colorful - Accent 5"/>
    <w:basedOn w:val="684"/>
    <w:next w:val="812"/>
    <w:link w:val="673"/>
    <w:uiPriority w:val="99"/>
    <w:pPr>
      <w:spacing w:after="0" w:line="240" w:lineRule="auto"/>
    </w:pPr>
    <w:tblPr/>
  </w:style>
  <w:style w:type="table" w:styleId="813">
    <w:name w:val="List Table 7 Colorful - Accent 6"/>
    <w:basedOn w:val="684"/>
    <w:next w:val="813"/>
    <w:link w:val="673"/>
    <w:uiPriority w:val="99"/>
    <w:pPr>
      <w:spacing w:after="0" w:line="240" w:lineRule="auto"/>
    </w:pPr>
    <w:tblPr/>
  </w:style>
  <w:style w:type="table" w:styleId="814">
    <w:name w:val="Lined - Accent"/>
    <w:basedOn w:val="684"/>
    <w:next w:val="814"/>
    <w:link w:val="673"/>
    <w:uiPriority w:val="99"/>
    <w:pPr>
      <w:spacing w:after="0" w:line="240" w:lineRule="auto"/>
    </w:pPr>
    <w:rPr>
      <w:color w:val="404040"/>
      <w:sz w:val="20"/>
      <w:szCs w:val="20"/>
      <w:lang w:eastAsia="ru-RU"/>
    </w:rPr>
    <w:tblPr/>
  </w:style>
  <w:style w:type="table" w:styleId="815">
    <w:name w:val="Lined - Accent 1"/>
    <w:basedOn w:val="684"/>
    <w:next w:val="815"/>
    <w:link w:val="673"/>
    <w:uiPriority w:val="99"/>
    <w:pPr>
      <w:spacing w:after="0" w:line="240" w:lineRule="auto"/>
    </w:pPr>
    <w:rPr>
      <w:color w:val="404040"/>
      <w:sz w:val="20"/>
      <w:szCs w:val="20"/>
      <w:lang w:eastAsia="ru-RU"/>
    </w:rPr>
    <w:tblPr/>
  </w:style>
  <w:style w:type="table" w:styleId="816">
    <w:name w:val="Lined - Accent 2"/>
    <w:basedOn w:val="684"/>
    <w:next w:val="816"/>
    <w:link w:val="673"/>
    <w:uiPriority w:val="99"/>
    <w:pPr>
      <w:spacing w:after="0" w:line="240" w:lineRule="auto"/>
    </w:pPr>
    <w:rPr>
      <w:color w:val="404040"/>
      <w:sz w:val="20"/>
      <w:szCs w:val="20"/>
      <w:lang w:eastAsia="ru-RU"/>
    </w:rPr>
    <w:tblPr/>
  </w:style>
  <w:style w:type="table" w:styleId="817">
    <w:name w:val="Lined - Accent 3"/>
    <w:basedOn w:val="684"/>
    <w:next w:val="817"/>
    <w:link w:val="673"/>
    <w:uiPriority w:val="99"/>
    <w:pPr>
      <w:spacing w:after="0" w:line="240" w:lineRule="auto"/>
    </w:pPr>
    <w:rPr>
      <w:color w:val="404040"/>
      <w:sz w:val="20"/>
      <w:szCs w:val="20"/>
      <w:lang w:eastAsia="ru-RU"/>
    </w:rPr>
    <w:tblPr/>
  </w:style>
  <w:style w:type="table" w:styleId="818">
    <w:name w:val="Lined - Accent 4"/>
    <w:basedOn w:val="684"/>
    <w:next w:val="818"/>
    <w:link w:val="673"/>
    <w:uiPriority w:val="99"/>
    <w:pPr>
      <w:spacing w:after="0" w:line="240" w:lineRule="auto"/>
    </w:pPr>
    <w:rPr>
      <w:color w:val="404040"/>
      <w:sz w:val="20"/>
      <w:szCs w:val="20"/>
      <w:lang w:eastAsia="ru-RU"/>
    </w:rPr>
    <w:tblPr/>
  </w:style>
  <w:style w:type="table" w:styleId="819">
    <w:name w:val="Lined - Accent 5"/>
    <w:basedOn w:val="684"/>
    <w:next w:val="819"/>
    <w:link w:val="673"/>
    <w:uiPriority w:val="99"/>
    <w:pPr>
      <w:spacing w:after="0" w:line="240" w:lineRule="auto"/>
    </w:pPr>
    <w:rPr>
      <w:color w:val="404040"/>
      <w:sz w:val="20"/>
      <w:szCs w:val="20"/>
      <w:lang w:eastAsia="ru-RU"/>
    </w:rPr>
    <w:tblPr/>
  </w:style>
  <w:style w:type="table" w:styleId="820">
    <w:name w:val="Lined - Accent 6"/>
    <w:basedOn w:val="684"/>
    <w:next w:val="820"/>
    <w:link w:val="673"/>
    <w:uiPriority w:val="99"/>
    <w:pPr>
      <w:spacing w:after="0" w:line="240" w:lineRule="auto"/>
    </w:pPr>
    <w:rPr>
      <w:color w:val="404040"/>
      <w:sz w:val="20"/>
      <w:szCs w:val="20"/>
      <w:lang w:eastAsia="ru-RU"/>
    </w:rPr>
    <w:tblPr/>
  </w:style>
  <w:style w:type="table" w:styleId="821">
    <w:name w:val="Bordered &amp; Lined - Accent"/>
    <w:basedOn w:val="684"/>
    <w:next w:val="821"/>
    <w:link w:val="673"/>
    <w:uiPriority w:val="99"/>
    <w:pPr>
      <w:spacing w:after="0" w:line="240" w:lineRule="auto"/>
    </w:pPr>
    <w:rPr>
      <w:color w:val="404040"/>
      <w:sz w:val="20"/>
      <w:szCs w:val="20"/>
      <w:lang w:eastAsia="ru-RU"/>
    </w:rPr>
    <w:tblPr/>
  </w:style>
  <w:style w:type="table" w:styleId="822">
    <w:name w:val="Bordered &amp; Lined - Accent 1"/>
    <w:basedOn w:val="684"/>
    <w:next w:val="822"/>
    <w:link w:val="673"/>
    <w:uiPriority w:val="99"/>
    <w:pPr>
      <w:spacing w:after="0" w:line="240" w:lineRule="auto"/>
    </w:pPr>
    <w:rPr>
      <w:color w:val="404040"/>
      <w:sz w:val="20"/>
      <w:szCs w:val="20"/>
      <w:lang w:eastAsia="ru-RU"/>
    </w:rPr>
    <w:tblPr/>
  </w:style>
  <w:style w:type="table" w:styleId="823">
    <w:name w:val="Bordered &amp; Lined - Accent 2"/>
    <w:basedOn w:val="684"/>
    <w:next w:val="823"/>
    <w:link w:val="673"/>
    <w:uiPriority w:val="99"/>
    <w:pPr>
      <w:spacing w:after="0" w:line="240" w:lineRule="auto"/>
    </w:pPr>
    <w:rPr>
      <w:color w:val="404040"/>
      <w:sz w:val="20"/>
      <w:szCs w:val="20"/>
      <w:lang w:eastAsia="ru-RU"/>
    </w:rPr>
    <w:tblPr/>
  </w:style>
  <w:style w:type="table" w:styleId="824">
    <w:name w:val="Bordered &amp; Lined - Accent 3"/>
    <w:basedOn w:val="684"/>
    <w:next w:val="824"/>
    <w:link w:val="673"/>
    <w:uiPriority w:val="99"/>
    <w:pPr>
      <w:spacing w:after="0" w:line="240" w:lineRule="auto"/>
    </w:pPr>
    <w:rPr>
      <w:color w:val="404040"/>
      <w:sz w:val="20"/>
      <w:szCs w:val="20"/>
      <w:lang w:eastAsia="ru-RU"/>
    </w:rPr>
    <w:tblPr/>
  </w:style>
  <w:style w:type="table" w:styleId="825">
    <w:name w:val="Bordered &amp; Lined - Accent 4"/>
    <w:basedOn w:val="684"/>
    <w:next w:val="825"/>
    <w:link w:val="673"/>
    <w:uiPriority w:val="99"/>
    <w:pPr>
      <w:spacing w:after="0" w:line="240" w:lineRule="auto"/>
    </w:pPr>
    <w:rPr>
      <w:color w:val="404040"/>
      <w:sz w:val="20"/>
      <w:szCs w:val="20"/>
      <w:lang w:eastAsia="ru-RU"/>
    </w:rPr>
    <w:tblPr/>
  </w:style>
  <w:style w:type="table" w:styleId="826">
    <w:name w:val="Bordered &amp; Lined - Accent 5"/>
    <w:basedOn w:val="684"/>
    <w:next w:val="826"/>
    <w:link w:val="673"/>
    <w:uiPriority w:val="99"/>
    <w:pPr>
      <w:spacing w:after="0" w:line="240" w:lineRule="auto"/>
    </w:pPr>
    <w:rPr>
      <w:color w:val="404040"/>
      <w:sz w:val="20"/>
      <w:szCs w:val="20"/>
      <w:lang w:eastAsia="ru-RU"/>
    </w:rPr>
    <w:tblPr/>
  </w:style>
  <w:style w:type="table" w:styleId="827">
    <w:name w:val="Bordered &amp; Lined - Accent 6"/>
    <w:basedOn w:val="684"/>
    <w:next w:val="827"/>
    <w:link w:val="673"/>
    <w:uiPriority w:val="99"/>
    <w:pPr>
      <w:spacing w:after="0" w:line="240" w:lineRule="auto"/>
    </w:pPr>
    <w:rPr>
      <w:color w:val="404040"/>
      <w:sz w:val="20"/>
      <w:szCs w:val="20"/>
      <w:lang w:eastAsia="ru-RU"/>
    </w:rPr>
    <w:tblPr/>
  </w:style>
  <w:style w:type="table" w:styleId="828">
    <w:name w:val="Bordered"/>
    <w:basedOn w:val="684"/>
    <w:next w:val="828"/>
    <w:link w:val="673"/>
    <w:uiPriority w:val="99"/>
    <w:pPr>
      <w:spacing w:after="0" w:line="240" w:lineRule="auto"/>
    </w:pPr>
    <w:tblPr/>
  </w:style>
  <w:style w:type="table" w:styleId="829">
    <w:name w:val="Bordered - Accent 1"/>
    <w:basedOn w:val="684"/>
    <w:next w:val="829"/>
    <w:link w:val="673"/>
    <w:uiPriority w:val="99"/>
    <w:pPr>
      <w:spacing w:after="0" w:line="240" w:lineRule="auto"/>
    </w:pPr>
    <w:tblPr/>
  </w:style>
  <w:style w:type="table" w:styleId="830">
    <w:name w:val="Bordered - Accent 2"/>
    <w:basedOn w:val="684"/>
    <w:next w:val="830"/>
    <w:link w:val="673"/>
    <w:uiPriority w:val="99"/>
    <w:pPr>
      <w:spacing w:after="0" w:line="240" w:lineRule="auto"/>
    </w:pPr>
    <w:tblPr/>
  </w:style>
  <w:style w:type="table" w:styleId="831">
    <w:name w:val="Bordered - Accent 3"/>
    <w:basedOn w:val="684"/>
    <w:next w:val="831"/>
    <w:link w:val="673"/>
    <w:uiPriority w:val="99"/>
    <w:pPr>
      <w:spacing w:after="0" w:line="240" w:lineRule="auto"/>
    </w:pPr>
    <w:tblPr/>
  </w:style>
  <w:style w:type="table" w:styleId="832">
    <w:name w:val="Bordered - Accent 4"/>
    <w:basedOn w:val="684"/>
    <w:next w:val="832"/>
    <w:link w:val="673"/>
    <w:uiPriority w:val="99"/>
    <w:pPr>
      <w:spacing w:after="0" w:line="240" w:lineRule="auto"/>
    </w:pPr>
    <w:tblPr/>
  </w:style>
  <w:style w:type="table" w:styleId="833">
    <w:name w:val="Bordered - Accent 5"/>
    <w:basedOn w:val="684"/>
    <w:next w:val="833"/>
    <w:link w:val="673"/>
    <w:uiPriority w:val="99"/>
    <w:pPr>
      <w:spacing w:after="0" w:line="240" w:lineRule="auto"/>
    </w:pPr>
    <w:tblPr/>
  </w:style>
  <w:style w:type="table" w:styleId="834">
    <w:name w:val="Bordered - Accent 6"/>
    <w:basedOn w:val="684"/>
    <w:next w:val="834"/>
    <w:link w:val="673"/>
    <w:uiPriority w:val="99"/>
    <w:pPr>
      <w:spacing w:after="0" w:line="240" w:lineRule="auto"/>
    </w:pPr>
    <w:tblPr/>
  </w:style>
  <w:style w:type="character" w:styleId="835">
    <w:name w:val="Гиперссылка"/>
    <w:next w:val="835"/>
    <w:link w:val="673"/>
    <w:uiPriority w:val="99"/>
    <w:unhideWhenUsed/>
    <w:rPr>
      <w:color w:val="0563c1"/>
      <w:u w:val="single"/>
    </w:rPr>
  </w:style>
  <w:style w:type="character" w:styleId="836">
    <w:name w:val="Footnote Text Char"/>
    <w:next w:val="836"/>
    <w:link w:val="673"/>
    <w:uiPriority w:val="99"/>
    <w:rPr>
      <w:sz w:val="18"/>
    </w:rPr>
  </w:style>
  <w:style w:type="paragraph" w:styleId="837">
    <w:name w:val="Текст концевой сноски"/>
    <w:basedOn w:val="673"/>
    <w:next w:val="837"/>
    <w:link w:val="838"/>
    <w:uiPriority w:val="99"/>
    <w:semiHidden/>
    <w:unhideWhenUsed/>
    <w:pPr>
      <w:spacing w:after="0" w:line="240" w:lineRule="auto"/>
    </w:pPr>
    <w:rPr>
      <w:sz w:val="20"/>
    </w:rPr>
  </w:style>
  <w:style w:type="character" w:styleId="838">
    <w:name w:val="Текст концевой сноски Знак"/>
    <w:next w:val="838"/>
    <w:link w:val="837"/>
    <w:uiPriority w:val="99"/>
    <w:rPr>
      <w:sz w:val="20"/>
    </w:rPr>
  </w:style>
  <w:style w:type="character" w:styleId="839">
    <w:name w:val="Знак концевой сноски"/>
    <w:next w:val="839"/>
    <w:link w:val="673"/>
    <w:uiPriority w:val="99"/>
    <w:semiHidden/>
    <w:unhideWhenUsed/>
    <w:rPr>
      <w:vertAlign w:val="superscript"/>
    </w:rPr>
  </w:style>
  <w:style w:type="paragraph" w:styleId="840">
    <w:name w:val="Оглавление 1"/>
    <w:basedOn w:val="673"/>
    <w:next w:val="673"/>
    <w:link w:val="673"/>
    <w:uiPriority w:val="39"/>
    <w:unhideWhenUsed/>
    <w:pPr>
      <w:spacing w:after="57"/>
    </w:pPr>
  </w:style>
  <w:style w:type="paragraph" w:styleId="841">
    <w:name w:val="Оглавление 2"/>
    <w:basedOn w:val="673"/>
    <w:next w:val="673"/>
    <w:link w:val="673"/>
    <w:uiPriority w:val="39"/>
    <w:unhideWhenUsed/>
    <w:pPr>
      <w:spacing w:after="57"/>
      <w:ind w:left="283"/>
    </w:pPr>
  </w:style>
  <w:style w:type="paragraph" w:styleId="842">
    <w:name w:val="Оглавление 3"/>
    <w:basedOn w:val="673"/>
    <w:next w:val="673"/>
    <w:link w:val="673"/>
    <w:uiPriority w:val="39"/>
    <w:unhideWhenUsed/>
    <w:pPr>
      <w:spacing w:after="57"/>
      <w:ind w:left="567"/>
    </w:pPr>
  </w:style>
  <w:style w:type="paragraph" w:styleId="843">
    <w:name w:val="Оглавление 4"/>
    <w:basedOn w:val="673"/>
    <w:next w:val="673"/>
    <w:link w:val="673"/>
    <w:uiPriority w:val="39"/>
    <w:unhideWhenUsed/>
    <w:pPr>
      <w:spacing w:after="57"/>
      <w:ind w:left="850"/>
    </w:pPr>
  </w:style>
  <w:style w:type="paragraph" w:styleId="844">
    <w:name w:val="Оглавление 5"/>
    <w:basedOn w:val="673"/>
    <w:next w:val="673"/>
    <w:link w:val="673"/>
    <w:uiPriority w:val="39"/>
    <w:unhideWhenUsed/>
    <w:pPr>
      <w:spacing w:after="57"/>
      <w:ind w:left="1134"/>
    </w:pPr>
  </w:style>
  <w:style w:type="paragraph" w:styleId="845">
    <w:name w:val="Оглавление 6"/>
    <w:basedOn w:val="673"/>
    <w:next w:val="673"/>
    <w:link w:val="673"/>
    <w:uiPriority w:val="39"/>
    <w:unhideWhenUsed/>
    <w:pPr>
      <w:spacing w:after="57"/>
      <w:ind w:left="1417"/>
    </w:pPr>
  </w:style>
  <w:style w:type="paragraph" w:styleId="846">
    <w:name w:val="Оглавление 7"/>
    <w:basedOn w:val="673"/>
    <w:next w:val="673"/>
    <w:link w:val="673"/>
    <w:uiPriority w:val="39"/>
    <w:unhideWhenUsed/>
    <w:pPr>
      <w:spacing w:after="57"/>
      <w:ind w:left="1701"/>
    </w:pPr>
  </w:style>
  <w:style w:type="paragraph" w:styleId="847">
    <w:name w:val="Оглавление 8"/>
    <w:basedOn w:val="673"/>
    <w:next w:val="673"/>
    <w:link w:val="673"/>
    <w:uiPriority w:val="39"/>
    <w:unhideWhenUsed/>
    <w:pPr>
      <w:spacing w:after="57"/>
      <w:ind w:left="1984"/>
    </w:pPr>
  </w:style>
  <w:style w:type="paragraph" w:styleId="848">
    <w:name w:val="Оглавление 9"/>
    <w:basedOn w:val="673"/>
    <w:next w:val="673"/>
    <w:link w:val="673"/>
    <w:uiPriority w:val="39"/>
    <w:unhideWhenUsed/>
    <w:pPr>
      <w:spacing w:after="57"/>
      <w:ind w:left="2268"/>
    </w:pPr>
  </w:style>
  <w:style w:type="paragraph" w:styleId="849">
    <w:name w:val="Заголовок оглавления"/>
    <w:next w:val="849"/>
    <w:link w:val="673"/>
    <w:uiPriority w:val="39"/>
    <w:unhideWhenUsed/>
    <w:pPr>
      <w:spacing w:after="160" w:line="259" w:lineRule="auto"/>
    </w:pPr>
    <w:rPr>
      <w:sz w:val="22"/>
      <w:szCs w:val="22"/>
      <w:lang w:val="ru-RU" w:eastAsia="en-US" w:bidi="ar-SA"/>
    </w:rPr>
  </w:style>
  <w:style w:type="paragraph" w:styleId="850">
    <w:name w:val="Перечень рисунков"/>
    <w:basedOn w:val="673"/>
    <w:next w:val="673"/>
    <w:link w:val="673"/>
    <w:uiPriority w:val="99"/>
    <w:unhideWhenUsed/>
    <w:pPr>
      <w:spacing w:after="0"/>
    </w:pPr>
  </w:style>
  <w:style w:type="paragraph" w:styleId="851">
    <w:name w:val="Абзац списка"/>
    <w:basedOn w:val="673"/>
    <w:next w:val="851"/>
    <w:link w:val="854"/>
    <w:qFormat/>
    <w:pPr>
      <w:ind w:left="720"/>
      <w:contextualSpacing/>
    </w:pPr>
  </w:style>
  <w:style w:type="paragraph" w:styleId="852">
    <w:name w:val="Основной текст"/>
    <w:basedOn w:val="673"/>
    <w:next w:val="852"/>
    <w:link w:val="853"/>
    <w:unhideWhenUsed/>
    <w:pPr>
      <w:widowControl w:val="off"/>
      <w:spacing w:after="120" w:line="240" w:lineRule="auto"/>
    </w:pPr>
    <w:rPr>
      <w:rFonts w:ascii="Times New Roman" w:hAnsi="Times New Roman" w:eastAsia="Times New Roman" w:cs="Times New Roman"/>
      <w:sz w:val="20"/>
      <w:szCs w:val="20"/>
      <w:lang w:eastAsia="ru-RU"/>
    </w:rPr>
  </w:style>
  <w:style w:type="character" w:styleId="853">
    <w:name w:val="Основной текст Знак"/>
    <w:next w:val="853"/>
    <w:link w:val="852"/>
    <w:rPr>
      <w:rFonts w:ascii="Times New Roman" w:hAnsi="Times New Roman" w:eastAsia="Times New Roman" w:cs="Times New Roman"/>
      <w:sz w:val="20"/>
      <w:szCs w:val="20"/>
      <w:lang w:eastAsia="ru-RU"/>
    </w:rPr>
  </w:style>
  <w:style w:type="character" w:styleId="854">
    <w:name w:val="Абзац списка Знак"/>
    <w:next w:val="854"/>
    <w:link w:val="851"/>
  </w:style>
  <w:style w:type="paragraph" w:styleId="855">
    <w:name w:val="Текст сноски"/>
    <w:basedOn w:val="673"/>
    <w:next w:val="855"/>
    <w:link w:val="856"/>
    <w:uiPriority w:val="99"/>
    <w:pPr>
      <w:spacing w:after="0" w:line="240" w:lineRule="auto"/>
    </w:pPr>
    <w:rPr>
      <w:rFonts w:ascii="Times New Roman" w:hAnsi="Times New Roman" w:eastAsia="Times New Roman" w:cs="Times New Roman"/>
      <w:sz w:val="20"/>
      <w:szCs w:val="20"/>
      <w:lang w:val="en-US"/>
    </w:rPr>
  </w:style>
  <w:style w:type="character" w:styleId="856">
    <w:name w:val="Текст сноски Знак"/>
    <w:next w:val="856"/>
    <w:link w:val="855"/>
    <w:uiPriority w:val="99"/>
    <w:rPr>
      <w:rFonts w:ascii="Times New Roman" w:hAnsi="Times New Roman" w:eastAsia="Times New Roman" w:cs="Times New Roman"/>
      <w:sz w:val="20"/>
      <w:szCs w:val="20"/>
      <w:lang w:val="en-US"/>
    </w:rPr>
  </w:style>
  <w:style w:type="character" w:styleId="857">
    <w:name w:val="Знак сноски"/>
    <w:next w:val="857"/>
    <w:link w:val="673"/>
    <w:uiPriority w:val="99"/>
    <w:rPr>
      <w:rFonts w:cs="Times New Roman"/>
      <w:vertAlign w:val="superscript"/>
    </w:rPr>
  </w:style>
  <w:style w:type="paragraph" w:styleId="858">
    <w:name w:val="Без интервала"/>
    <w:next w:val="858"/>
    <w:link w:val="673"/>
    <w:uiPriority w:val="1"/>
    <w:qFormat/>
    <w:rPr>
      <w:sz w:val="22"/>
      <w:szCs w:val="22"/>
      <w:lang w:val="ru-RU" w:eastAsia="en-US" w:bidi="ar-SA"/>
    </w:rPr>
  </w:style>
  <w:style w:type="paragraph" w:styleId="859">
    <w:name w:val="Основной текст с отступом 3"/>
    <w:basedOn w:val="673"/>
    <w:next w:val="859"/>
    <w:link w:val="860"/>
    <w:uiPriority w:val="99"/>
    <w:unhideWhenUsed/>
    <w:pPr>
      <w:spacing w:after="120"/>
      <w:ind w:left="283"/>
    </w:pPr>
    <w:rPr>
      <w:sz w:val="16"/>
      <w:szCs w:val="16"/>
    </w:rPr>
  </w:style>
  <w:style w:type="character" w:styleId="860">
    <w:name w:val="Основной текст с отступом 3 Знак"/>
    <w:next w:val="860"/>
    <w:link w:val="859"/>
    <w:uiPriority w:val="99"/>
    <w:rPr>
      <w:sz w:val="16"/>
      <w:szCs w:val="16"/>
    </w:rPr>
  </w:style>
  <w:style w:type="paragraph" w:styleId="861">
    <w:name w:val="L_A4_0.8*0.8"/>
    <w:basedOn w:val="673"/>
    <w:next w:val="861"/>
    <w:link w:val="673"/>
    <w:pPr>
      <w:spacing w:before="120" w:after="0" w:line="240" w:lineRule="auto"/>
      <w:ind w:firstLine="720"/>
      <w:jc w:val="both"/>
    </w:pPr>
    <w:rPr>
      <w:rFonts w:ascii="Times New Roman" w:hAnsi="Times New Roman" w:eastAsia="Times New Roman" w:cs="Times New Roman"/>
      <w:sz w:val="24"/>
      <w:szCs w:val="20"/>
    </w:rPr>
  </w:style>
  <w:style w:type="paragraph" w:styleId="862">
    <w:name w:val="Основной текст с отступом 2"/>
    <w:basedOn w:val="673"/>
    <w:next w:val="862"/>
    <w:link w:val="863"/>
    <w:uiPriority w:val="99"/>
    <w:semiHidden/>
    <w:unhideWhenUsed/>
    <w:pPr>
      <w:spacing w:after="120" w:line="480" w:lineRule="auto"/>
      <w:ind w:left="283"/>
    </w:pPr>
  </w:style>
  <w:style w:type="character" w:styleId="863">
    <w:name w:val="Основной текст с отступом 2 Знак"/>
    <w:basedOn w:val="683"/>
    <w:next w:val="863"/>
    <w:link w:val="862"/>
    <w:uiPriority w:val="99"/>
    <w:semiHidden/>
  </w:style>
  <w:style w:type="paragraph" w:styleId="864">
    <w:name w:val="Текст выноски"/>
    <w:basedOn w:val="673"/>
    <w:next w:val="864"/>
    <w:link w:val="865"/>
    <w:uiPriority w:val="99"/>
    <w:semiHidden/>
    <w:unhideWhenUsed/>
    <w:pPr>
      <w:spacing w:after="0" w:line="240" w:lineRule="auto"/>
    </w:pPr>
    <w:rPr>
      <w:rFonts w:ascii="Segoe UI" w:hAnsi="Segoe UI" w:cs="Segoe UI"/>
      <w:sz w:val="18"/>
      <w:szCs w:val="18"/>
    </w:rPr>
  </w:style>
  <w:style w:type="character" w:styleId="865">
    <w:name w:val="Текст выноски Знак"/>
    <w:next w:val="865"/>
    <w:link w:val="864"/>
    <w:uiPriority w:val="99"/>
    <w:semiHidden/>
    <w:rPr>
      <w:rFonts w:ascii="Segoe UI" w:hAnsi="Segoe UI" w:cs="Segoe UI"/>
      <w:sz w:val="18"/>
      <w:szCs w:val="18"/>
    </w:rPr>
  </w:style>
  <w:style w:type="character" w:styleId="866">
    <w:name w:val="Знак примечания"/>
    <w:next w:val="866"/>
    <w:link w:val="673"/>
    <w:uiPriority w:val="99"/>
    <w:semiHidden/>
    <w:unhideWhenUsed/>
    <w:rPr>
      <w:sz w:val="16"/>
      <w:szCs w:val="16"/>
    </w:rPr>
  </w:style>
  <w:style w:type="paragraph" w:styleId="867">
    <w:name w:val="Текст примечания"/>
    <w:basedOn w:val="673"/>
    <w:next w:val="867"/>
    <w:link w:val="868"/>
    <w:uiPriority w:val="99"/>
    <w:semiHidden/>
    <w:unhideWhenUsed/>
    <w:pPr>
      <w:spacing w:line="240" w:lineRule="auto"/>
    </w:pPr>
    <w:rPr>
      <w:sz w:val="20"/>
      <w:szCs w:val="20"/>
    </w:rPr>
  </w:style>
  <w:style w:type="character" w:styleId="868">
    <w:name w:val="Текст примечания Знак"/>
    <w:next w:val="868"/>
    <w:link w:val="867"/>
    <w:uiPriority w:val="99"/>
    <w:semiHidden/>
    <w:rPr>
      <w:sz w:val="20"/>
      <w:szCs w:val="20"/>
    </w:rPr>
  </w:style>
  <w:style w:type="paragraph" w:styleId="869">
    <w:name w:val="Тема примечания"/>
    <w:basedOn w:val="867"/>
    <w:next w:val="867"/>
    <w:link w:val="870"/>
    <w:uiPriority w:val="99"/>
    <w:semiHidden/>
    <w:unhideWhenUsed/>
    <w:rPr>
      <w:b/>
      <w:bCs/>
    </w:rPr>
  </w:style>
  <w:style w:type="character" w:styleId="870">
    <w:name w:val="Тема примечания Знак"/>
    <w:next w:val="870"/>
    <w:link w:val="869"/>
    <w:uiPriority w:val="99"/>
    <w:semiHidden/>
    <w:rPr>
      <w:b/>
      <w:bCs/>
      <w:sz w:val="20"/>
      <w:szCs w:val="20"/>
    </w:rPr>
  </w:style>
  <w:style w:type="paragraph" w:styleId="871">
    <w:name w:val="ConsPlusNormal"/>
    <w:next w:val="871"/>
    <w:link w:val="875"/>
    <w:pPr>
      <w:widowControl w:val="off"/>
    </w:pPr>
    <w:rPr>
      <w:rFonts w:eastAsia="Arial" w:cs="Calibri"/>
      <w:sz w:val="22"/>
      <w:szCs w:val="22"/>
      <w:lang w:val="ru-RU" w:eastAsia="ru-RU" w:bidi="ar-SA"/>
    </w:rPr>
  </w:style>
  <w:style w:type="paragraph" w:styleId="872">
    <w:name w:val="Основной текст с отступом"/>
    <w:basedOn w:val="673"/>
    <w:next w:val="872"/>
    <w:link w:val="873"/>
    <w:unhideWhenUsed/>
    <w:pPr>
      <w:spacing w:after="120"/>
      <w:ind w:left="283"/>
    </w:pPr>
  </w:style>
  <w:style w:type="character" w:styleId="873">
    <w:name w:val="Основной текст с отступом Знак"/>
    <w:basedOn w:val="683"/>
    <w:next w:val="873"/>
    <w:link w:val="872"/>
  </w:style>
  <w:style w:type="paragraph" w:styleId="874">
    <w:name w:val="ConsPlusNonformat"/>
    <w:next w:val="874"/>
    <w:link w:val="885"/>
    <w:pPr>
      <w:widowControl w:val="off"/>
    </w:pPr>
    <w:rPr>
      <w:rFonts w:ascii="Courier New" w:hAnsi="Courier New" w:eastAsia="Times New Roman" w:cs="Courier New"/>
      <w:lang w:val="ru-RU" w:eastAsia="ru-RU" w:bidi="ar-SA"/>
    </w:rPr>
  </w:style>
  <w:style w:type="character" w:styleId="875">
    <w:name w:val="ConsPlusNormal Знак"/>
    <w:next w:val="875"/>
    <w:link w:val="871"/>
    <w:rPr>
      <w:rFonts w:ascii="Calibri" w:hAnsi="Calibri" w:eastAsia="Arial" w:cs="Calibri"/>
      <w:lang w:eastAsia="ru-RU"/>
    </w:rPr>
  </w:style>
  <w:style w:type="paragraph" w:styleId="876">
    <w:name w:val="Стиль1"/>
    <w:basedOn w:val="695"/>
    <w:next w:val="876"/>
    <w:link w:val="878"/>
    <w:qFormat/>
    <w:pPr>
      <w:numPr>
        <w:numId w:val="19"/>
        <w:ilvl w:val="3"/>
      </w:numPr>
      <w:tabs>
        <w:tab w:val="left" w:pos="426" w:leader="none"/>
      </w:tabs>
      <w:spacing w:before="0" w:after="0" w:line="240" w:lineRule="auto"/>
      <w:ind w:left="0" w:firstLine="0"/>
      <w:contextualSpacing w:val="0"/>
      <w:jc w:val="both"/>
    </w:pPr>
    <w:rPr>
      <w:rFonts w:ascii="Times New Roman" w:hAnsi="Times New Roman" w:eastAsia="Times New Roman" w:cs="Times New Roman"/>
      <w:sz w:val="24"/>
      <w:szCs w:val="24"/>
      <w:lang w:val="en-US" w:eastAsia="ru-RU"/>
    </w:rPr>
  </w:style>
  <w:style w:type="paragraph" w:styleId="877">
    <w:name w:val="Стиль2"/>
    <w:basedOn w:val="874"/>
    <w:next w:val="877"/>
    <w:link w:val="880"/>
    <w:qFormat/>
    <w:pPr>
      <w:widowControl/>
      <w:numPr>
        <w:numId w:val="19"/>
        <w:ilvl w:val="2"/>
      </w:numPr>
      <w:contextualSpacing/>
      <w:jc w:val="both"/>
    </w:pPr>
    <w:rPr>
      <w:rFonts w:ascii="Times New Roman" w:hAnsi="Times New Roman" w:cs="Times New Roman"/>
      <w:sz w:val="24"/>
      <w:szCs w:val="24"/>
    </w:rPr>
  </w:style>
  <w:style w:type="character" w:styleId="878">
    <w:name w:val="Стиль1 Знак"/>
    <w:next w:val="878"/>
    <w:link w:val="876"/>
    <w:rPr>
      <w:rFonts w:ascii="Times New Roman" w:hAnsi="Times New Roman" w:eastAsia="Times New Roman" w:cs="Times New Roman"/>
      <w:sz w:val="24"/>
      <w:szCs w:val="24"/>
      <w:lang w:val="en-US" w:eastAsia="ru-RU"/>
    </w:rPr>
  </w:style>
  <w:style w:type="paragraph" w:styleId="879">
    <w:name w:val="Стиль3"/>
    <w:basedOn w:val="876"/>
    <w:next w:val="879"/>
    <w:link w:val="886"/>
    <w:qFormat/>
    <w:pPr>
      <w:numPr>
        <w:ilvl w:val="4"/>
      </w:numPr>
      <w:tabs>
        <w:tab w:val="num" w:pos="360" w:leader="none"/>
      </w:tabs>
      <w:ind w:left="0" w:firstLine="0"/>
    </w:pPr>
  </w:style>
  <w:style w:type="character" w:styleId="880">
    <w:name w:val="Стиль2 Знак"/>
    <w:next w:val="880"/>
    <w:link w:val="877"/>
    <w:rPr>
      <w:rFonts w:ascii="Times New Roman" w:hAnsi="Times New Roman" w:eastAsia="Times New Roman" w:cs="Times New Roman"/>
      <w:sz w:val="24"/>
      <w:szCs w:val="24"/>
      <w:lang w:eastAsia="ru-RU"/>
    </w:rPr>
  </w:style>
  <w:style w:type="character" w:styleId="881">
    <w:name w:val="Стиль5 Знак"/>
    <w:next w:val="881"/>
    <w:link w:val="882"/>
    <w:rPr>
      <w:rFonts w:ascii="Times New Roman" w:hAnsi="Times New Roman" w:eastAsia="Times New Roman"/>
      <w:sz w:val="24"/>
      <w:szCs w:val="24"/>
      <w:lang w:val="en-US"/>
    </w:rPr>
  </w:style>
  <w:style w:type="paragraph" w:styleId="882">
    <w:name w:val="Стиль5"/>
    <w:basedOn w:val="695"/>
    <w:next w:val="882"/>
    <w:link w:val="881"/>
    <w:qFormat/>
    <w:pPr>
      <w:spacing w:before="0" w:after="0" w:line="240" w:lineRule="auto"/>
      <w:contextualSpacing w:val="0"/>
      <w:jc w:val="both"/>
    </w:pPr>
    <w:rPr>
      <w:rFonts w:ascii="Times New Roman" w:hAnsi="Times New Roman" w:eastAsia="Times New Roman"/>
      <w:sz w:val="24"/>
      <w:szCs w:val="24"/>
      <w:lang w:val="en-US"/>
    </w:rPr>
  </w:style>
  <w:style w:type="paragraph" w:styleId="883">
    <w:name w:val="docdata,docy,v5,1742,bqiaagaaeyqcaaagiaiaaamsbaaabtoeaaaaaaaaaaaaaaaaaaaaaaaaaaaaaaaaaaaaaaaaaaaaaaaaaaaaaaaaaaaaaaaaaaaaaaaaaaaaaaaaaaaaaaaaaaaaaaaaaaaaaaaaaaaaaaaaaaaaaaaaaaaaaaaaaaaaaaaaaaaaaaaaaaaaaaaaaaaaaaaaaaaaaaaaaaaaaaaaaaaaaaaaaaaaaaaaaaaaaaaa"/>
    <w:basedOn w:val="673"/>
    <w:next w:val="883"/>
    <w:link w:val="673"/>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884">
    <w:name w:val="Default"/>
    <w:next w:val="884"/>
    <w:link w:val="673"/>
    <w:rPr>
      <w:rFonts w:ascii="Times New Roman" w:hAnsi="Times New Roman"/>
      <w:color w:val="000000"/>
      <w:sz w:val="24"/>
      <w:szCs w:val="24"/>
      <w:lang w:val="ru-RU" w:eastAsia="ru-RU" w:bidi="ar-SA"/>
    </w:rPr>
  </w:style>
  <w:style w:type="character" w:styleId="885">
    <w:name w:val="ConsPlusNonformat Знак"/>
    <w:next w:val="885"/>
    <w:link w:val="874"/>
    <w:uiPriority w:val="99"/>
    <w:rPr>
      <w:rFonts w:ascii="Courier New" w:hAnsi="Courier New" w:eastAsia="Times New Roman" w:cs="Courier New"/>
      <w:sz w:val="20"/>
      <w:szCs w:val="20"/>
      <w:lang w:eastAsia="ru-RU"/>
    </w:rPr>
  </w:style>
  <w:style w:type="character" w:styleId="886">
    <w:name w:val="Стиль3 Знак"/>
    <w:next w:val="886"/>
    <w:link w:val="879"/>
    <w:rPr>
      <w:rFonts w:ascii="Times New Roman" w:hAnsi="Times New Roman" w:eastAsia="Times New Roman" w:cs="Times New Roman"/>
      <w:sz w:val="24"/>
      <w:szCs w:val="24"/>
      <w:lang w:val="en-US" w:eastAsia="ru-RU"/>
    </w:rPr>
  </w:style>
  <w:style w:type="character" w:styleId="2651" w:default="1">
    <w:name w:val="Default Paragraph Font"/>
    <w:uiPriority w:val="1"/>
    <w:semiHidden/>
    <w:unhideWhenUsed/>
  </w:style>
  <w:style w:type="numbering" w:styleId="2652" w:default="1">
    <w:name w:val="No List"/>
    <w:uiPriority w:val="99"/>
    <w:semiHidden/>
    <w:unhideWhenUsed/>
  </w:style>
  <w:style w:type="table" w:styleId="265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Р7-Офис/2025.2.2.831</Application>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Балан Юлия Владимировна</dc:creator>
  <cp:lastModifiedBy>machinskas-yd</cp:lastModifiedBy>
  <cp:revision>3</cp:revision>
  <dcterms:created xsi:type="dcterms:W3CDTF">2024-10-21T11:05:00Z</dcterms:created>
  <dcterms:modified xsi:type="dcterms:W3CDTF">2026-05-19T08:58:17Z</dcterms:modified>
  <cp:version>1048576</cp:version>
</cp:coreProperties>
</file>